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F452"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D64DFDE">
      <w:pPr>
        <w:widowControl/>
        <w:autoSpaceDE/>
        <w:autoSpaceDN/>
        <w:adjustRightInd/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 w14:paraId="7265A45A">
      <w:pPr>
        <w:widowControl/>
        <w:autoSpaceDE/>
        <w:autoSpaceDN/>
        <w:adjustRightInd/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4AF0E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浙江省轨道交通和能源业联合会</w:t>
      </w:r>
    </w:p>
    <w:p w14:paraId="2786D5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提名浙江省科学技术奖管理办法（试行）</w:t>
      </w:r>
    </w:p>
    <w:p w14:paraId="10D0F9D2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59F12BB8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5C6E716D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总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则</w:t>
      </w:r>
    </w:p>
    <w:p w14:paraId="3033797F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 w14:paraId="1402516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为规范有序开展浙江省科学技术奖（以下简称“省科技奖”）提名工作，确保提名材料的质量，根据《浙江省科学技术奖励办法》《浙江省科学技术奖励办法实施细则》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规定要求，结合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浙江省轨道交通和能源业联合会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（以下简称“联合会”）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工作实际，特制定《提名浙江省科学技术奖管理办法（试行）》。</w:t>
      </w:r>
    </w:p>
    <w:p w14:paraId="37FA422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遵循公平、公正、公开、诚信和好中选优的原则，在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科学技术奖评选的基础上，择优开展省科技奖的提名工作。</w:t>
      </w:r>
    </w:p>
    <w:p w14:paraId="16C8823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科学技术奖管理办公室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（以下简称“管理办公室”）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设在能源业咨询合作部，分管会领导兼任办公室主任，成员由能源业咨询合作部、轨道交通咨询合作部相关人员及有关专家组成。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负责省科技奖提名日常管理工作，包括提名材料审核、信息上报、异议（信访）处理等工作。</w:t>
      </w:r>
    </w:p>
    <w:p w14:paraId="2537A29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省科学技术奖的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提名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遴选工作所产生的会议费、专家费用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相关费用按照国家及我省有关规定执行，并自觉接受审计部门的监督。</w:t>
      </w:r>
    </w:p>
    <w:p w14:paraId="6264457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推选或提名参加国家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轨道交通、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能源行业其他科学技术奖的可参照本办法执行。</w:t>
      </w:r>
    </w:p>
    <w:p w14:paraId="3BC9567F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提名范围与条件</w:t>
      </w:r>
    </w:p>
    <w:p w14:paraId="36081A6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轨道交通、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能源领域优秀科学技术成果，提名参加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省科技奖评选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，提名奖项类别包括：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浙江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科技大奖、省自然科学奖、省技术发明奖、省科学技术进步奖、省国际科学技术合作奖等。</w:t>
      </w:r>
    </w:p>
    <w:p w14:paraId="6FEAD50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拟提名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候选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成果及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主体须符合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《浙江省科学技术奖励办法》《浙江省科学技术奖励办法实施细则》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省科技奖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提名工作通知等文件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中规定的被提名者标准和要求。</w:t>
      </w:r>
    </w:p>
    <w:p w14:paraId="1EFC9E4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第八条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获得者优选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提名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省科技奖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，被提名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成果应为符合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第七条及以下条件之一：</w:t>
      </w:r>
    </w:p>
    <w:p w14:paraId="5C4FFC8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科学技术奖一等奖的优秀成果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3989E5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科学技术奖二等奖且整体质量水平、技术相关指标达到国内领先及以上的优秀成果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1003A4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科学技术奖二等奖且属于应急攻关重大标志性成果。</w:t>
      </w:r>
    </w:p>
    <w:p w14:paraId="50C80C6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省科技奖和其他国家财政资金支持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省部级及以上科学技术奖的成果不再提名。</w:t>
      </w:r>
    </w:p>
    <w:p w14:paraId="2591CDF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连续2年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申报省科技奖未获奖的成果，须间隔1年以上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能再次提名。</w:t>
      </w:r>
    </w:p>
    <w:p w14:paraId="6597A68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同一人或同一成果在同一年度只能提名一次。</w:t>
      </w:r>
    </w:p>
    <w:p w14:paraId="05DC06B9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审核、遴选及提名程序</w:t>
      </w:r>
    </w:p>
    <w:p w14:paraId="64FAA8D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省科技奖提名工作采用申请制，每年度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申报“联合会科学技术奖”的成果主体需申明同意被提名参选省科技奖。</w:t>
      </w:r>
    </w:p>
    <w:p w14:paraId="7F2C44C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科学技术奖实行专业评审组初审和评审委员会终审两级评审制。拟申报省科技奖的成果，在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联合会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评选中，专业评审组负责材料前置审核，评审委员会负责提名成果的复审遴选。</w:t>
      </w:r>
    </w:p>
    <w:p w14:paraId="6058609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专业评审组由申报成果专业领域的资深专家组成，根据申报材料，对成果创新水平、技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术难度、应用成效以及材料的真实性、准确性进行评审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</w:p>
    <w:p w14:paraId="397F2F7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评审委员会根据本办法的规定，对专业评审组的评审情况，进行审核、评议、优选，提出拟报省科技奖的成果候选名单、报奖类别、等级推荐建议。</w:t>
      </w:r>
    </w:p>
    <w:p w14:paraId="5F4DC10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根据年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省科技奖提名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通知的规定，结合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联合会科学技术奖评审结果，管理办公室对符合条件的成果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复核、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筛选，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提名候选名单，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联合会、主要完成单位、主要完成人所在单位网站进行公示，经公示无异议或者异议处理后符合相关条件的方可提名。</w:t>
      </w:r>
    </w:p>
    <w:p w14:paraId="44F3E61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第十五条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公示程序后，管理办公室将最终提名省科技奖名单及报奖类别、等级及提名意见报联合会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会长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办公会议研究确定。</w:t>
      </w:r>
    </w:p>
    <w:p w14:paraId="5BCFD0E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根据年度省科技奖提名工作通知要求，联合会适时组织相关单位进行提名培训，指导申报单位开展参评材料的填报。</w:t>
      </w:r>
    </w:p>
    <w:p w14:paraId="4E8F37F7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申报单位提名省科技奖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参评材料经联合会审核无异议后，签字盖章上报；联合会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上报提名函、提名汇总表及落实提名程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序等相关材料。</w:t>
      </w:r>
    </w:p>
    <w:p w14:paraId="6762E21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责任与监督</w:t>
      </w:r>
    </w:p>
    <w:p w14:paraId="57883A4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会作为省科技奖提名单位，履行提名工作的主体责任。归口管理提名成果的前置审核、论证遴选、提名公示、异议处理、研究确定等工作，监督成果被提名单位履行科研诚信义务，落实专家审核责任。</w:t>
      </w:r>
    </w:p>
    <w:p w14:paraId="2030E9A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禁止重复报奖、拼凑“包装”、造假剽窃、侵占他人成果等行为，对发现科研诚信问题的实行“一票否决”。被提名成果的申报单位应对成果材料的真实性、准确性负责，并作出书面诚信承诺。在上报成果材料时，同时向联合会提交单位负责人签名、单位盖章的承诺书。</w:t>
      </w:r>
    </w:p>
    <w:p w14:paraId="0F7F503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第十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若出现违背承诺、弄虚作假行为，联合会将取消该成果的提名，成果主要完成单位、主要完成人两年内不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申报参加联合会科技成果奖评选。</w:t>
      </w:r>
    </w:p>
    <w:p w14:paraId="2234B3C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二十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专家组评审专家应认真履行对申报成果的审核责任。</w:t>
      </w:r>
    </w:p>
    <w:p w14:paraId="5AE0DD4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评审专家没有尽到审核责任或以不当方式协助申报主体弄虚作假的，联合会将通报专家派出单位，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取消联合会科技成果奖评审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专家资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格。</w:t>
      </w:r>
    </w:p>
    <w:p w14:paraId="7F96221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异议处理</w:t>
      </w:r>
    </w:p>
    <w:p w14:paraId="3DA7C89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第二十一条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任何单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位或个人对提名省科技奖成果有异议的，均可在提名公示期内向联合会提出，并实名在规定时间内提供书面异议材料及证明文件，逾期不予受理。</w:t>
      </w:r>
    </w:p>
    <w:p w14:paraId="68C828A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第二十二条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联合会管理办公室负责对异议情况进行调查核实，对异议者的身份予以保密。</w:t>
      </w:r>
    </w:p>
    <w:p w14:paraId="61CC143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成果申报单位及个人应如实反映情况配合异议调查，并在规定时间内提供相应材料。</w:t>
      </w:r>
    </w:p>
    <w:p w14:paraId="6D30466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第二十三条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管理办公室向联合会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会长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办公会议报告异议核查情况及处理建议，提请审议，并将审议结果通知涉及异议各方。</w:t>
      </w:r>
    </w:p>
    <w:p w14:paraId="70093DF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经核实申报成果中涉及弄虚作假，按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条、第二十条处理；属于申报差错或完成单位、完成人排序不合理的，申报单位应立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即纠正。</w:t>
      </w:r>
    </w:p>
    <w:p w14:paraId="2D9A6207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第六章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则</w:t>
      </w:r>
    </w:p>
    <w:p w14:paraId="16AF7CC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由浙江省轨道交通和能源业联合会负责解释。</w:t>
      </w:r>
    </w:p>
    <w:p w14:paraId="6553077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本办法未提及事项以《浙江省科学技术奖励办法》《浙江省科学技术奖励办法实施细则》及省科技奖提名工作通知等文件的规定为准。</w:t>
      </w:r>
    </w:p>
    <w:p w14:paraId="3D52D91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zh-CN"/>
        </w:rPr>
        <w:t>第二十六条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　本办法自发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布之日起施行。</w:t>
      </w:r>
    </w:p>
    <w:p w14:paraId="2E5E43C8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6498EEE">
      <w:pPr>
        <w:widowControl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6"/>
    <w:rsid w:val="00D865B5"/>
    <w:rsid w:val="00F35E2A"/>
    <w:rsid w:val="00FC7956"/>
    <w:rsid w:val="017772E3"/>
    <w:rsid w:val="050526F9"/>
    <w:rsid w:val="0B7B31BF"/>
    <w:rsid w:val="0C2242F8"/>
    <w:rsid w:val="1D2B6CC7"/>
    <w:rsid w:val="2DB140EA"/>
    <w:rsid w:val="310257F0"/>
    <w:rsid w:val="4C2D4456"/>
    <w:rsid w:val="58A97AA0"/>
    <w:rsid w:val="7C8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2220</Words>
  <Characters>2220</Characters>
  <Lines>15</Lines>
  <Paragraphs>4</Paragraphs>
  <TotalTime>0</TotalTime>
  <ScaleCrop>false</ScaleCrop>
  <LinksUpToDate>false</LinksUpToDate>
  <CharactersWithSpaces>2263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2022-10-10T03:19:00Z</dcterms:created>
  <dc:creator>THINKPAD</dc:creator>
  <cp:lastModifiedBy>三太公</cp:lastModifiedBy>
  <cp:lastPrinted>2025-08-13T04:30:00Z</cp:lastPrinted>
  <dcterms:modified xsi:type="dcterms:W3CDTF">2025-08-13T09:16:25Z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eyJoZGlkIjoiNDI1NGQ4MDY4NjMxYWVlMzc3ODM2NDE0MmU1ODUxYzYiLCJ1c2VySWQiOiIyOTM2OTU4NzUifQ==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91D91D41D910441B93944C0473B17226_12</vt:lpwstr>
  </property>
</Properties>
</file>