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framePr w:h="685" w:hRule="exact" w:x="2156" w:y="14847"/>
        <w:ind w:firstLine="210"/>
        <w:rPr>
          <w:rFonts w:hint="default" w:ascii="Times New Roman" w:hAnsi="Times New Roman" w:eastAsia="黑体" w:cs="Times New Roman"/>
          <w:b w:val="0"/>
          <w:color w:val="auto"/>
          <w:szCs w:val="28"/>
        </w:rPr>
      </w:pPr>
      <w:bookmarkStart w:id="65" w:name="_GoBack"/>
      <w:bookmarkStart w:id="0" w:name="_Toc505347066"/>
      <w:bookmarkStart w:id="1" w:name="OLE_LINK4"/>
      <w:bookmarkStart w:id="2" w:name="_Hlk4776597"/>
      <w:r>
        <w:rPr>
          <w:rFonts w:hint="default" w:ascii="Times New Roman" w:hAnsi="Times New Roman" w:eastAsia="黑体" w:cs="Times New Roman"/>
          <w:b w:val="0"/>
          <w:color w:val="auto"/>
          <w:szCs w:val="28"/>
        </w:rPr>
        <w:t xml:space="preserve">中国汽车工业协会  </w:t>
      </w:r>
      <w:r>
        <w:rPr>
          <w:rFonts w:hint="default" w:ascii="Times New Roman" w:hAnsi="Times New Roman" w:eastAsia="黑体" w:cs="Times New Roman"/>
          <w:b w:val="0"/>
          <w:color w:val="auto"/>
          <w:sz w:val="24"/>
        </w:rPr>
        <w:t>发布</w:t>
      </w:r>
    </w:p>
    <w:p>
      <w:pPr>
        <w:ind w:left="0" w:leftChars="0" w:firstLine="0" w:firstLineChars="0"/>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ICS</w:t>
      </w:r>
      <w:r>
        <w:rPr>
          <w:rFonts w:hint="default" w:ascii="Times New Roman" w:hAnsi="Times New Roman" w:eastAsia="宋体" w:cs="Times New Roman"/>
          <w:color w:val="auto"/>
          <w:sz w:val="22"/>
          <w:szCs w:val="22"/>
          <w:lang w:val="en-US" w:eastAsia="zh-CN"/>
        </w:rPr>
        <w:t xml:space="preserve">  29.200</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lang w:val="en-US" w:eastAsia="zh-CN"/>
        </w:rPr>
        <w:t>CCS  K81</w:t>
      </w:r>
    </w:p>
    <w:p>
      <w:pPr>
        <w:rPr>
          <w:rFonts w:hint="default" w:ascii="Times New Roman" w:hAnsi="Times New Roman" w:eastAsia="宋体" w:cs="Times New Roman"/>
          <w:color w:val="auto"/>
          <w:sz w:val="22"/>
          <w:szCs w:val="22"/>
        </w:rPr>
      </w:pPr>
    </w:p>
    <w:p>
      <w:pPr>
        <w:rPr>
          <w:rFonts w:hint="default" w:ascii="Times New Roman" w:hAnsi="Times New Roman" w:eastAsia="宋体" w:cs="Times New Roman"/>
          <w:color w:val="auto"/>
          <w:sz w:val="22"/>
          <w:szCs w:val="22"/>
        </w:rPr>
      </w:pPr>
    </w:p>
    <w:p>
      <w:pPr>
        <w:rPr>
          <w:rFonts w:hint="default" w:ascii="Times New Roman" w:hAnsi="Times New Roman" w:eastAsia="宋体" w:cs="Times New Roman"/>
          <w:color w:val="auto"/>
          <w:sz w:val="22"/>
          <w:szCs w:val="2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黑体" w:cs="Times New Roman"/>
          <w:color w:val="auto"/>
          <w:sz w:val="84"/>
          <w:szCs w:val="84"/>
        </w:rPr>
        <w:t>团 体 标 准</w:t>
      </w:r>
      <w:r>
        <w:rPr>
          <w:rFonts w:hint="default" w:ascii="Times New Roman" w:hAnsi="Times New Roman" w:eastAsia="黑体" w:cs="Times New Roman"/>
          <w:color w:val="auto"/>
          <w:sz w:val="84"/>
          <w:szCs w:val="84"/>
        </w:rPr>
        <w:br w:type="textWrapping"/>
      </w:r>
    </w:p>
    <w:p>
      <w:pPr>
        <w:jc w:val="right"/>
        <w:rPr>
          <w:rFonts w:hint="default" w:ascii="Times New Roman" w:hAnsi="Times New Roman" w:eastAsia="黑体" w:cs="Times New Roman"/>
          <w:color w:val="auto"/>
          <w:sz w:val="24"/>
          <w:lang w:val="en-US" w:eastAsia="zh-CN"/>
        </w:rPr>
      </w:pPr>
      <w:bookmarkStart w:id="3" w:name="OLE_LINK17"/>
      <w:r>
        <w:rPr>
          <w:rFonts w:hint="default" w:ascii="Times New Roman" w:hAnsi="Times New Roman" w:eastAsia="黑体" w:cs="Times New Roman"/>
          <w:color w:val="auto"/>
          <w:sz w:val="24"/>
        </w:rPr>
        <w:t xml:space="preserve">T/CAAMTB </w:t>
      </w:r>
      <w:r>
        <w:rPr>
          <w:rFonts w:hint="default" w:ascii="Times New Roman" w:hAnsi="Times New Roman" w:eastAsia="黑体" w:cs="Times New Roman"/>
          <w:color w:val="auto"/>
          <w:sz w:val="24"/>
          <w:lang w:val="en-US" w:eastAsia="zh-CN"/>
        </w:rPr>
        <w:t>193.2—202X</w:t>
      </w:r>
      <w:bookmarkEnd w:id="3"/>
    </w:p>
    <w:p>
      <w:pPr>
        <w:jc w:val="right"/>
        <w:rPr>
          <w:rFonts w:hint="default" w:ascii="Times New Roman" w:hAnsi="Times New Roman" w:eastAsia="黑体" w:cs="Times New Roman"/>
          <w:color w:val="auto"/>
          <w:sz w:val="16"/>
          <w:szCs w:val="16"/>
          <w:lang w:val="en-US" w:eastAsia="zh-CN"/>
        </w:rPr>
      </w:pPr>
      <w:r>
        <w:rPr>
          <w:rFonts w:hint="default" w:ascii="Times New Roman" w:hAnsi="Times New Roman" w:eastAsia="黑体" w:cs="Times New Roman"/>
          <w:color w:val="auto"/>
          <w:sz w:val="16"/>
          <w:szCs w:val="16"/>
          <w:lang w:val="en-US" w:eastAsia="zh-CN"/>
        </w:rPr>
        <w:t>代替</w:t>
      </w:r>
      <w:r>
        <w:rPr>
          <w:rFonts w:hint="default" w:ascii="Times New Roman" w:hAnsi="Times New Roman" w:eastAsia="黑体" w:cs="Times New Roman"/>
          <w:color w:val="auto"/>
          <w:sz w:val="16"/>
          <w:szCs w:val="16"/>
        </w:rPr>
        <w:t xml:space="preserve">T/CAAMTB </w:t>
      </w:r>
      <w:r>
        <w:rPr>
          <w:rFonts w:hint="default" w:ascii="Times New Roman" w:hAnsi="Times New Roman" w:eastAsia="黑体" w:cs="Times New Roman"/>
          <w:color w:val="auto"/>
          <w:sz w:val="16"/>
          <w:szCs w:val="16"/>
          <w:lang w:val="en-US" w:eastAsia="zh-CN"/>
        </w:rPr>
        <w:t>193.2—2024</w:t>
      </w:r>
    </w:p>
    <w:p>
      <w:pPr>
        <w:jc w:val="center"/>
        <w:rPr>
          <w:rFonts w:hint="default" w:ascii="Times New Roman" w:hAnsi="Times New Roman" w:eastAsia="黑体" w:cs="Times New Roman"/>
          <w:color w:val="auto"/>
          <w:sz w:val="28"/>
          <w:szCs w:val="28"/>
        </w:rPr>
      </w:pPr>
      <w:r>
        <w:rPr>
          <w:rFonts w:hint="default" w:ascii="Times New Roman" w:hAnsi="Times New Roman" w:cs="Times New Roman"/>
          <w:color w:val="auto"/>
          <w:sz w:val="28"/>
        </w:rPr>
        <mc:AlternateContent>
          <mc:Choice Requires="wps">
            <w:drawing>
              <wp:anchor distT="0" distB="0" distL="114300" distR="114300" simplePos="0" relativeHeight="251664384" behindDoc="0" locked="0" layoutInCell="1" allowOverlap="1">
                <wp:simplePos x="0" y="0"/>
                <wp:positionH relativeFrom="column">
                  <wp:posOffset>-39370</wp:posOffset>
                </wp:positionH>
                <wp:positionV relativeFrom="paragraph">
                  <wp:posOffset>43180</wp:posOffset>
                </wp:positionV>
                <wp:extent cx="5981700" cy="0"/>
                <wp:effectExtent l="0" t="12700" r="0" b="15875"/>
                <wp:wrapNone/>
                <wp:docPr id="5" name="直接连接符 5"/>
                <wp:cNvGraphicFramePr/>
                <a:graphic xmlns:a="http://schemas.openxmlformats.org/drawingml/2006/main">
                  <a:graphicData uri="http://schemas.microsoft.com/office/word/2010/wordprocessingShape">
                    <wps:wsp>
                      <wps:cNvCnPr/>
                      <wps:spPr>
                        <a:xfrm>
                          <a:off x="0" y="0"/>
                          <a:ext cx="5981700" cy="0"/>
                        </a:xfrm>
                        <a:prstGeom prst="line">
                          <a:avLst/>
                        </a:prstGeom>
                        <a:ln w="254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3.1pt;margin-top:3.4pt;height:0pt;width:471pt;z-index:251664384;mso-width-relative:page;mso-height-relative:page;" filled="f" stroked="t" coordsize="21600,21600" o:gfxdata="UEsDBAoAAAAAAIdO4kAAAAAAAAAAAAAAAAAEAAAAZHJzL1BLAwQUAAAACACHTuJAddFfMNYAAAAG&#10;AQAADwAAAGRycy9kb3ducmV2LnhtbE2PT0sDMRDF70K/Q5iCtzbbVhddN1tQtEIRxCroMd3MbhaT&#10;ybJJ/337jl70No/3ePN75fLondjjELtACmbTDARSHUxHrYKP96fJDYiYNBntAqGCE0ZYVqOLUhcm&#10;HOgN95vUCi6hWGgFNqW+kDLWFr2O09AjsdeEwevEcmilGfSBy72T8yzLpdcd8Qere3ywWH9vdl7B&#10;83oVPhenx8Z92VVs/NX9i321Sl2OZ9kdiITH9BeGH3xGh4qZtmFHJgqnYJLPOakg5wFs3y6u+dj+&#10;almV8j9+dQZQSwMEFAAAAAgAh07iQOC8re7wAQAA4wMAAA4AAABkcnMvZTJvRG9jLnhtbK1TvY4T&#10;MRDukXgHyz3ZTUTgWGVzxYWjQRAJeICJ7c1a8p88vmzyErwAEh1UlPS8DcdjMPbmcnA0KdjCOx7P&#10;fDPf5/Hicm8N26mI2ruWTyc1Z8oJL7XbtvzD++snF5xhAifBeKdaflDIL5ePHy2G0KiZ772RKjIC&#10;cdgMoeV9SqGpKhS9soATH5Sjw85HC4m2cVvJCAOhW1PN6vpZNfgoQ/RCIZJ3NR7yI2I8B9B3nRZq&#10;5cWNVS6NqFEZSEQJex2QL0u3XadEett1qBIzLSemqaxUhOxNXqvlAppthNBrcWwBzmnhAScL2lHR&#10;E9QKErCbqP+BslpEj75LE+FtNRIpihCLaf1Am3c9BFW4kNQYTqLj/4MVb3bryLRs+ZwzB5Yu/PbT&#10;958fv/z68ZnW229f2TyLNARsKPbKreNxh2EdM+N9F23+Exe2L8IeTsKqfWKCnPMXF9PnNWku7s6q&#10;+8QQMb1S3rJstNxolzlDA7vXmKgYhd6FZLdxbGj5bP604AFNYEc3T9A2EAt025KM3mh5rY3JKRi3&#10;mysT2Q7yFJQvcyLgv8JylRVgP8aVo3E+rE4q04amVyBfOsnSIZBSjh4Iz91YJTkzit5TtkpkAm3O&#10;iaQmjKNessCjpNnaeHkoShc/3X3p9jinebj+3Jfs+7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10V8w1gAAAAYBAAAPAAAAAAAAAAEAIAAAACIAAABkcnMvZG93bnJldi54bWxQSwECFAAUAAAA&#10;CACHTuJA4Lyt7vABAADjAwAADgAAAAAAAAABACAAAAAlAQAAZHJzL2Uyb0RvYy54bWxQSwUGAAAA&#10;AAYABgBZAQAAhwUAAAAA&#10;">
                <v:fill on="f" focussize="0,0"/>
                <v:stroke weight="2pt" color="#000000" joinstyle="miter"/>
                <v:imagedata o:title=""/>
                <o:lock v:ext="edit" aspectratio="f"/>
              </v:line>
            </w:pict>
          </mc:Fallback>
        </mc:AlternateContent>
      </w:r>
    </w:p>
    <w:p>
      <w:pPr>
        <w:spacing w:line="336" w:lineRule="auto"/>
        <w:ind w:left="871" w:right="971"/>
        <w:jc w:val="center"/>
        <w:rPr>
          <w:rFonts w:hint="default" w:ascii="Times New Roman" w:hAnsi="Times New Roman" w:eastAsia="黑体" w:cs="Times New Roman"/>
          <w:color w:val="auto"/>
          <w:sz w:val="44"/>
          <w:szCs w:val="44"/>
        </w:rPr>
      </w:pPr>
    </w:p>
    <w:p>
      <w:pPr>
        <w:spacing w:line="336" w:lineRule="auto"/>
        <w:ind w:left="871" w:right="971"/>
        <w:jc w:val="center"/>
        <w:rPr>
          <w:rFonts w:hint="default" w:ascii="Times New Roman" w:hAnsi="Times New Roman" w:eastAsia="黑体" w:cs="Times New Roman"/>
          <w:color w:val="auto"/>
          <w:sz w:val="44"/>
          <w:szCs w:val="44"/>
        </w:rPr>
      </w:pPr>
    </w:p>
    <w:p>
      <w:pPr>
        <w:spacing w:line="336" w:lineRule="auto"/>
        <w:ind w:right="971"/>
        <w:jc w:val="both"/>
        <w:rPr>
          <w:rFonts w:hint="default" w:ascii="Times New Roman" w:hAnsi="Times New Roman" w:eastAsia="黑体" w:cs="Times New Roman"/>
          <w:color w:val="auto"/>
          <w:sz w:val="44"/>
          <w:szCs w:val="44"/>
        </w:rPr>
      </w:pPr>
    </w:p>
    <w:p>
      <w:pPr>
        <w:spacing w:line="336" w:lineRule="auto"/>
        <w:ind w:left="871" w:right="971"/>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电动汽车充电设施及场站测试评价规范</w:t>
      </w:r>
    </w:p>
    <w:p>
      <w:pPr>
        <w:spacing w:line="336" w:lineRule="auto"/>
        <w:ind w:left="871" w:right="971"/>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第2部分：场站设施</w:t>
      </w:r>
    </w:p>
    <w:p>
      <w:pPr>
        <w:widowControl/>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Testing and evaluation specification for electric vehicle charging infrastructure and station</w:t>
      </w:r>
    </w:p>
    <w:p>
      <w:pPr>
        <w:widowControl/>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rPr>
        <w:t>Part 2: Charging</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rPr>
        <w:t>station</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rPr>
        <w:t>infrastructure</w:t>
      </w:r>
    </w:p>
    <w:p>
      <w:pPr>
        <w:widowControl/>
        <w:wordWrap w:val="0"/>
        <w:jc w:val="center"/>
        <w:rPr>
          <w:rFonts w:hint="default" w:ascii="Times New Roman" w:hAnsi="Times New Roman" w:eastAsia="黑体" w:cs="Times New Roman"/>
          <w:color w:val="auto"/>
          <w:sz w:val="24"/>
        </w:rPr>
      </w:pPr>
    </w:p>
    <w:p>
      <w:pPr>
        <w:widowControl/>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4"/>
        </w:rPr>
        <w:t>（</w:t>
      </w:r>
      <w:r>
        <w:rPr>
          <w:rFonts w:hint="default" w:ascii="Times New Roman" w:hAnsi="Times New Roman" w:eastAsia="黑体" w:cs="Times New Roman"/>
          <w:color w:val="auto"/>
          <w:sz w:val="24"/>
          <w:lang w:val="en-US" w:eastAsia="zh-CN"/>
        </w:rPr>
        <w:t>征求意见</w:t>
      </w:r>
      <w:r>
        <w:rPr>
          <w:rFonts w:hint="default" w:ascii="Times New Roman" w:hAnsi="Times New Roman" w:eastAsia="黑体" w:cs="Times New Roman"/>
          <w:color w:val="auto"/>
          <w:sz w:val="24"/>
        </w:rPr>
        <w:t>稿）</w:t>
      </w:r>
    </w:p>
    <w:p>
      <w:pPr>
        <w:spacing w:line="336" w:lineRule="auto"/>
        <w:ind w:left="871" w:right="971"/>
        <w:jc w:val="center"/>
        <w:rPr>
          <w:rFonts w:hint="default" w:ascii="Times New Roman" w:hAnsi="Times New Roman" w:eastAsia="黑体" w:cs="Times New Roman"/>
          <w:color w:val="auto"/>
          <w:sz w:val="44"/>
          <w:szCs w:val="44"/>
        </w:rPr>
      </w:pPr>
    </w:p>
    <w:p>
      <w:pPr>
        <w:jc w:val="center"/>
        <w:rPr>
          <w:rFonts w:hint="default" w:ascii="Times New Roman" w:hAnsi="Times New Roman" w:eastAsia="TimesNewRomanPSMT" w:cs="Times New Roman"/>
          <w:color w:val="auto"/>
          <w:sz w:val="30"/>
          <w:szCs w:val="30"/>
        </w:rPr>
      </w:pPr>
    </w:p>
    <w:p>
      <w:pPr>
        <w:jc w:val="both"/>
        <w:rPr>
          <w:rFonts w:hint="default" w:ascii="Times New Roman" w:hAnsi="Times New Roman" w:eastAsia="TimesNewRomanPSMT" w:cs="Times New Roman"/>
          <w:color w:val="auto"/>
          <w:sz w:val="30"/>
          <w:szCs w:val="30"/>
        </w:rPr>
      </w:pPr>
    </w:p>
    <w:p>
      <w:pPr>
        <w:jc w:val="center"/>
        <w:rPr>
          <w:rFonts w:hint="default" w:ascii="Times New Roman" w:hAnsi="Times New Roman" w:eastAsia="TimesNewRomanPSMT" w:cs="Times New Roman"/>
          <w:color w:val="auto"/>
          <w:sz w:val="30"/>
          <w:szCs w:val="30"/>
        </w:rPr>
      </w:pPr>
    </w:p>
    <w:p>
      <w:pPr>
        <w:jc w:val="center"/>
        <w:rPr>
          <w:rFonts w:hint="default" w:ascii="Times New Roman" w:hAnsi="Times New Roman" w:eastAsia="TimesNewRomanPSMT" w:cs="Times New Roman"/>
          <w:color w:val="auto"/>
          <w:sz w:val="30"/>
          <w:szCs w:val="30"/>
        </w:rPr>
      </w:pPr>
    </w:p>
    <w:p>
      <w:pPr>
        <w:jc w:val="center"/>
        <w:rPr>
          <w:rFonts w:hint="default" w:ascii="Times New Roman" w:hAnsi="Times New Roman" w:eastAsia="黑体" w:cs="Times New Roman"/>
          <w:color w:val="auto"/>
          <w:sz w:val="30"/>
          <w:szCs w:val="30"/>
        </w:rPr>
      </w:pPr>
      <w:r>
        <w:rPr>
          <w:rFonts w:hint="default" w:ascii="Times New Roman" w:hAnsi="Times New Roman" w:cs="Times New Roman"/>
          <w:color w:val="auto"/>
          <w:sz w:val="28"/>
          <w:lang w:val="en-US"/>
        </w:rPr>
        <mc:AlternateContent>
          <mc:Choice Requires="wps">
            <w:drawing>
              <wp:anchor distT="0" distB="0" distL="114300" distR="114300" simplePos="0" relativeHeight="251666432" behindDoc="0" locked="0" layoutInCell="1" allowOverlap="1">
                <wp:simplePos x="0" y="0"/>
                <wp:positionH relativeFrom="column">
                  <wp:posOffset>14605</wp:posOffset>
                </wp:positionH>
                <wp:positionV relativeFrom="paragraph">
                  <wp:posOffset>467995</wp:posOffset>
                </wp:positionV>
                <wp:extent cx="5838825" cy="0"/>
                <wp:effectExtent l="0" t="6350" r="0" b="7620"/>
                <wp:wrapNone/>
                <wp:docPr id="6" name="直接连接符 2"/>
                <wp:cNvGraphicFramePr/>
                <a:graphic xmlns:a="http://schemas.openxmlformats.org/drawingml/2006/main">
                  <a:graphicData uri="http://schemas.microsoft.com/office/word/2010/wordprocessingShape">
                    <wps:wsp>
                      <wps:cNvCnPr/>
                      <wps:spPr>
                        <a:xfrm>
                          <a:off x="0" y="0"/>
                          <a:ext cx="5838825"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2" o:spid="_x0000_s1026" o:spt="20" style="position:absolute;left:0pt;margin-left:1.15pt;margin-top:36.85pt;height:0pt;width:459.75pt;z-index:251666432;mso-width-relative:page;mso-height-relative:page;" filled="f" stroked="t" coordsize="21600,21600" o:gfxdata="UEsDBAoAAAAAAIdO4kAAAAAAAAAAAAAAAAAEAAAAZHJzL1BLAwQUAAAACACHTuJAP5pjBNYAAAAH&#10;AQAADwAAAGRycy9kb3ducmV2LnhtbE2PzU7DMBCE70i8g7VI3KjzgwiEOBUCVRw4tVTA0Y2XJGq8&#10;jmw3DTw9i3qA4+yMZr6tlrMdxIQ+9I4UpIsEBFLjTE+tgu3r6uoWRIiajB4coYIvDLCsz88qXRp3&#10;pDVOm9gKLqFQagVdjGMpZWg6tDos3IjE3qfzVkeWvpXG6yOX20FmSXIjre6JFzo94mOHzX5zsAre&#10;Hop9Pj8/Xa/ievvh3ZS/4Pe7UpcXaXIPIuIc/8Lwi8/oUDPTzh3IBDEoyHIOKijyAgTbd1nKn+xO&#10;B1lX8j9//QNQSwMEFAAAAAgAh07iQHh3In/yAQAA4wMAAA4AAABkcnMvZTJvRG9jLnhtbK1TzW4T&#10;MRC+I/EOlu9kt0Et0S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b/gzIGlC7/9&#10;8vP3529/fn2l9fbHdzbNIg0BG4q9cqt42GFYxcx410Wb/8SF7Yqw+6OwapeYIOf57OVsNj3nTNyd&#10;VfeJIWJ6o7xl2Wi50S5zhga2bzFRMQq9C8lu49hAczt9VdMdCqAJ7OjmybSBWKDblGT0RstrbUxO&#10;wbhZX5nItpCnoHyZEwE/CMtVloD9GFeOxvmwOqlMG5pegXztJEv7QEo5eiA8d2OV5Mwoek/ZKpEJ&#10;tDklkpowjnrJAo+SZmvt5b4oXfx096Xbw5zm4fp3X7Lv3+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aYwTWAAAABwEAAA8AAAAAAAAAAQAgAAAAIgAAAGRycy9kb3ducmV2LnhtbFBLAQIUABQA&#10;AAAIAIdO4kB4dyJ/8gEAAOMDAAAOAAAAAAAAAAEAIAAAACUBAABkcnMvZTJvRG9jLnhtbFBLBQYA&#10;AAAABgAGAFkBAACJBQAAAAA=&#10;">
                <v:fill on="f" focussize="0,0"/>
                <v:stroke weight="1pt" color="#000000" joinstyle="miter"/>
                <v:imagedata o:title=""/>
                <o:lock v:ext="edit" aspectratio="f"/>
              </v:line>
            </w:pict>
          </mc:Fallback>
        </mc:AlternateContent>
      </w:r>
      <w:r>
        <w:rPr>
          <w:rFonts w:hint="default" w:ascii="Times New Roman" w:hAnsi="Times New Roman" w:cs="Times New Roman"/>
          <w:color w:val="auto"/>
          <w:sz w:val="28"/>
          <w:lang w:val="en-US"/>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4983480</wp:posOffset>
                </wp:positionV>
                <wp:extent cx="5838825" cy="0"/>
                <wp:effectExtent l="0" t="6350" r="0" b="7620"/>
                <wp:wrapNone/>
                <wp:docPr id="3" name="直接连接符 2"/>
                <wp:cNvGraphicFramePr/>
                <a:graphic xmlns:a="http://schemas.openxmlformats.org/drawingml/2006/main">
                  <a:graphicData uri="http://schemas.microsoft.com/office/word/2010/wordprocessingShape">
                    <wps:wsp>
                      <wps:cNvCnPr/>
                      <wps:spPr>
                        <a:xfrm>
                          <a:off x="0" y="0"/>
                          <a:ext cx="5838825"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2" o:spid="_x0000_s1026" o:spt="20" style="position:absolute;left:0pt;margin-left:3pt;margin-top:392.4pt;height:0pt;width:459.75pt;z-index:251665408;mso-width-relative:page;mso-height-relative:page;" filled="f" stroked="t" coordsize="21600,21600" o:gfxdata="UEsDBAoAAAAAAIdO4kAAAAAAAAAAAAAAAAAEAAAAZHJzL1BLAwQUAAAACACHTuJAHTvUPdgAAAAJ&#10;AQAADwAAAGRycy9kb3ducmV2LnhtbE2PTU/DMAyG70j8h8hI3Fi6761rOiHQxIHTxgQcs8a01Rqn&#10;SrKu8OsxEtJ2tF/r9fNk6942okMfakcKhoMEBFLhTE2lgv3b5mEBIkRNRjeOUME3BljntzeZTo07&#10;0xa7XSwFl1BItYIqxjaVMhQVWh0GrkXi7Mt5qyOPvpTG6zOX20aOkmQmra6JP1S6xacKi+PuZBW8&#10;P86P4/7lebKJ2/2nd934FX8+lLq/GyYrEBH7eDmGP3xGh5yZDu5EJohGwYxNooL5YsIGnC9H0ymI&#10;w/9G5pm8Nsh/AVBLAwQUAAAACACHTuJAaReHl/IBAADjAwAADgAAAGRycy9lMm9Eb2MueG1srVPN&#10;bhMxEL4j8Q6W72S3qQrRKpseGsoFQSTgASa2N2vJf/K42eQleAEkbnDiyJ23oTwGY2+a0vaSA3vw&#10;jscz38z3eTy/3FnDtiqi9q7lZ5OaM+WEl9ptWv7p4/WLGWeYwEkw3qmW7xXyy8XzZ/MhNGrqe2+k&#10;ioxAHDZDaHmfUmiqCkWvLODEB+XosPPRQqJt3FQywkDo1lTTun5ZDT7KEL1QiORdjof8gBhPAfRd&#10;p4VaenFjlUsjalQGElHCXgfki9Jt1ymR3ncdqsRMy4lpKisVIXud12oxh2YTIfRaHFqAU1p4xMmC&#10;dlT0CLWEBOwm6idQVovo0XdpIrytRiJFEWJxVj/S5kMPQRUuJDWGo+j4/2DFu+0qMi1bfs6ZA0sX&#10;fvvl5+/P3/78+krr7Y/vbJpFGgI2FHvlVvGww7CKmfGuizb/iQvbFWH3R2HVLjFBzovZ+Ww2veBM&#10;3J1V94khYnqjvGXZaLnRLnOGBrZvMVExCr0LyW7j2EBzO31V0x0KoAns6ObJtIFYoNuUZPRGy2tt&#10;TE7BuFlfmci2kKegfJkTAT8Iy1WWgP0YV47G+bA6qUwbml6BfO0kS/tASjl6IDx3Y5XkzCh6T9kq&#10;kQm0OSWSmjCOeskCj5Jma+3lvihd/HT3pdvDnObh+ndfsu/f5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TvUPdgAAAAJAQAADwAAAAAAAAABACAAAAAiAAAAZHJzL2Rvd25yZXYueG1sUEsBAhQA&#10;FAAAAAgAh07iQGkXh5fyAQAA4wMAAA4AAAAAAAAAAQAgAAAAJwEAAGRycy9lMm9Eb2MueG1sUEsF&#10;BgAAAAAGAAYAWQEAAIsFAAAAAA==&#10;">
                <v:fill on="f" focussize="0,0"/>
                <v:stroke weight="1pt" color="#000000" joinstyle="miter"/>
                <v:imagedata o:title=""/>
                <o:lock v:ext="edit" aspectratio="f"/>
              </v:line>
            </w:pict>
          </mc:Fallback>
        </mc:AlternateContent>
      </w:r>
      <w:r>
        <w:rPr>
          <w:rFonts w:hint="default" w:ascii="Times New Roman" w:hAnsi="Times New Roman" w:cs="Times New Roman"/>
          <w:color w:val="auto"/>
          <w:sz w:val="28"/>
          <w:lang w:val="en-US" w:eastAsia="zh-CN"/>
        </w:rPr>
        <w:t>20</w:t>
      </w:r>
      <w:r>
        <w:rPr>
          <w:rFonts w:hint="default" w:ascii="Times New Roman" w:hAnsi="Times New Roman" w:eastAsia="TimesNewRomanPSMT" w:cs="Times New Roman"/>
          <w:color w:val="auto"/>
          <w:sz w:val="30"/>
          <w:szCs w:val="30"/>
        </w:rPr>
        <w:t xml:space="preserve">xx-xx-xx </w:t>
      </w:r>
      <w:r>
        <w:rPr>
          <w:rFonts w:hint="default" w:ascii="Times New Roman" w:hAnsi="Times New Roman" w:eastAsia="黑体" w:cs="Times New Roman"/>
          <w:color w:val="auto"/>
          <w:sz w:val="30"/>
          <w:szCs w:val="30"/>
        </w:rPr>
        <w:t xml:space="preserve">发布                                 </w:t>
      </w:r>
      <w:r>
        <w:rPr>
          <w:rFonts w:hint="default" w:ascii="Times New Roman" w:hAnsi="Times New Roman" w:eastAsia="黑体" w:cs="Times New Roman"/>
          <w:color w:val="auto"/>
          <w:sz w:val="30"/>
          <w:szCs w:val="30"/>
          <w:lang w:val="en-US" w:eastAsia="zh-CN"/>
        </w:rPr>
        <w:t>20</w:t>
      </w:r>
      <w:r>
        <w:rPr>
          <w:rFonts w:hint="default" w:ascii="Times New Roman" w:hAnsi="Times New Roman" w:eastAsia="TimesNewRomanPSMT" w:cs="Times New Roman"/>
          <w:color w:val="auto"/>
          <w:sz w:val="30"/>
          <w:szCs w:val="30"/>
        </w:rPr>
        <w:t xml:space="preserve">xx-xx-xx </w:t>
      </w:r>
      <w:r>
        <w:rPr>
          <w:rFonts w:hint="default" w:ascii="Times New Roman" w:hAnsi="Times New Roman" w:eastAsia="黑体" w:cs="Times New Roman"/>
          <w:color w:val="auto"/>
          <w:sz w:val="30"/>
          <w:szCs w:val="30"/>
        </w:rPr>
        <w:t>实施</w:t>
      </w:r>
      <w:r>
        <w:rPr>
          <w:rFonts w:hint="default" w:ascii="Times New Roman" w:hAnsi="Times New Roman" w:eastAsia="黑体" w:cs="Times New Roman"/>
          <w:color w:val="auto"/>
          <w:sz w:val="30"/>
          <w:szCs w:val="30"/>
        </w:rPr>
        <w:br w:type="textWrapping"/>
      </w:r>
    </w:p>
    <w:p>
      <w:pPr>
        <w:jc w:val="center"/>
        <w:rPr>
          <w:rFonts w:hint="default" w:ascii="Times New Roman" w:hAnsi="Times New Roman" w:eastAsia="黑体" w:cs="Times New Roman"/>
          <w:color w:val="auto"/>
          <w:sz w:val="30"/>
          <w:szCs w:val="30"/>
        </w:rPr>
        <w:sectPr>
          <w:headerReference r:id="rId3" w:type="default"/>
          <w:type w:val="continuous"/>
          <w:pgSz w:w="11906" w:h="16838"/>
          <w:pgMar w:top="567" w:right="1134" w:bottom="1134" w:left="1418" w:header="1418" w:footer="1134" w:gutter="0"/>
          <w:pgNumType w:fmt="upperRoman" w:start="1"/>
          <w:cols w:space="720" w:num="1"/>
          <w:titlePg/>
          <w:docGrid w:type="lines" w:linePitch="312" w:charSpace="0"/>
        </w:sectPr>
      </w:pPr>
    </w:p>
    <w:p>
      <w:pPr>
        <w:widowControl/>
        <w:jc w:val="left"/>
        <w:rPr>
          <w:rFonts w:hint="default" w:ascii="Times New Roman" w:hAnsi="Times New Roman" w:eastAsia="黑体" w:cs="Times New Roman"/>
          <w:color w:val="auto"/>
          <w:sz w:val="32"/>
          <w:szCs w:val="32"/>
          <w:highlight w:val="none"/>
        </w:rPr>
      </w:pPr>
    </w:p>
    <w:sdt>
      <w:sdtPr>
        <w:rPr>
          <w:rFonts w:hint="default" w:ascii="Times New Roman" w:hAnsi="Times New Roman" w:eastAsia="宋体" w:cs="Times New Roman"/>
          <w:color w:val="auto"/>
          <w:kern w:val="2"/>
          <w:sz w:val="21"/>
          <w:szCs w:val="22"/>
          <w:lang w:val="en-US" w:eastAsia="zh-CN" w:bidi="ar-SA"/>
        </w:rPr>
        <w:id w:val="147466073"/>
        <w15:color w:val="DBDBDB"/>
        <w:docPartObj>
          <w:docPartGallery w:val="Table of Contents"/>
          <w:docPartUnique/>
        </w:docPartObj>
      </w:sdtPr>
      <w:sdtEndPr>
        <w:rPr>
          <w:rFonts w:hint="default" w:ascii="Times New Roman" w:hAnsi="Times New Roman" w:eastAsia="黑体" w:cs="Times New Roman"/>
          <w:color w:val="auto"/>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目</w:t>
          </w:r>
          <w:r>
            <w:rPr>
              <w:rFonts w:hint="default" w:ascii="Times New Roman" w:hAnsi="Times New Roman" w:eastAsia="黑体" w:cs="Times New Roman"/>
              <w:color w:val="auto"/>
              <w:sz w:val="32"/>
              <w:szCs w:val="40"/>
              <w:lang w:val="en-US" w:eastAsia="zh-CN"/>
            </w:rPr>
            <w:t xml:space="preserve">    </w:t>
          </w:r>
          <w:r>
            <w:rPr>
              <w:rFonts w:hint="default" w:ascii="Times New Roman" w:hAnsi="Times New Roman" w:eastAsia="黑体" w:cs="Times New Roman"/>
              <w:color w:val="auto"/>
              <w:sz w:val="32"/>
              <w:szCs w:val="40"/>
            </w:rPr>
            <w:t>录</w:t>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TOC \o "1-1" \h \u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_Toc24737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前言</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_Toc24737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III</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_Toc15904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1  范围</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_Toc15904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1</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_Toc3192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2  规范性引用文件</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_Toc3192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1</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_Toc15227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3  术语和定义</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_Toc15227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1</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_Toc28924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4  充电设施检测项目</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_Toc28924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2</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_Toc26786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5  场站配套检测项目</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_Toc26786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5</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宋体" w:cs="Times New Roman"/>
              <w:color w:val="auto"/>
              <w:sz w:val="20"/>
              <w:szCs w:val="20"/>
              <w:lang w:val="en-US" w:eastAsia="zh-CN" w:bidi="ar-SA"/>
            </w:rPr>
            <w:fldChar w:fldCharType="end"/>
          </w:r>
        </w:p>
      </w:sdtContent>
    </w:sdt>
    <w:p>
      <w:pPr>
        <w:spacing w:line="360" w:lineRule="auto"/>
        <w:jc w:val="center"/>
        <w:outlineLvl w:val="0"/>
        <w:rPr>
          <w:rFonts w:hint="default" w:ascii="Times New Roman" w:hAnsi="Times New Roman" w:eastAsia="黑体" w:cs="Times New Roman"/>
          <w:color w:val="auto"/>
          <w:sz w:val="32"/>
          <w:szCs w:val="32"/>
          <w:highlight w:val="none"/>
        </w:rPr>
        <w:sectPr>
          <w:headerReference r:id="rId4" w:type="first"/>
          <w:footerReference r:id="rId6" w:type="first"/>
          <w:footerReference r:id="rId5" w:type="default"/>
          <w:type w:val="continuous"/>
          <w:pgSz w:w="11906" w:h="16838"/>
          <w:pgMar w:top="1440" w:right="1800" w:bottom="1440" w:left="1800" w:header="850" w:footer="994" w:gutter="0"/>
          <w:pgNumType w:fmt="upperRoman"/>
          <w:cols w:space="425" w:num="1"/>
          <w:titlePg/>
          <w:docGrid w:type="lines" w:linePitch="312" w:charSpace="0"/>
        </w:sectPr>
      </w:pPr>
      <w:bookmarkStart w:id="4" w:name="_Toc24737"/>
    </w:p>
    <w:p>
      <w:pPr>
        <w:spacing w:line="360" w:lineRule="auto"/>
        <w:jc w:val="center"/>
        <w:outlineLvl w:val="0"/>
        <w:rPr>
          <w:rFonts w:hint="default" w:ascii="Times New Roman" w:hAnsi="Times New Roman" w:cs="Times New Roman" w:eastAsiaTheme="minorEastAsia"/>
          <w:color w:val="auto"/>
          <w:sz w:val="21"/>
          <w:szCs w:val="22"/>
          <w:highlight w:val="none"/>
        </w:rPr>
      </w:pPr>
      <w:r>
        <w:rPr>
          <w:rFonts w:hint="default" w:ascii="Times New Roman" w:hAnsi="Times New Roman" w:eastAsia="黑体" w:cs="Times New Roman"/>
          <w:color w:val="auto"/>
          <w:sz w:val="32"/>
          <w:szCs w:val="32"/>
          <w:highlight w:val="none"/>
        </w:rPr>
        <w:t>前</w:t>
      </w:r>
      <w:bookmarkStart w:id="5" w:name="BKQY"/>
      <w:r>
        <w:rPr>
          <w:rFonts w:hint="default" w:ascii="Times New Roman" w:hAnsi="Times New Roman" w:eastAsia="黑体" w:cs="Times New Roman"/>
          <w:color w:val="auto"/>
          <w:sz w:val="32"/>
          <w:szCs w:val="32"/>
          <w:highlight w:val="none"/>
        </w:rPr>
        <w:t xml:space="preserve">    言</w:t>
      </w:r>
      <w:bookmarkEnd w:id="0"/>
      <w:bookmarkEnd w:id="4"/>
      <w:bookmarkEnd w:id="5"/>
    </w:p>
    <w:p>
      <w:pPr>
        <w:pStyle w:val="28"/>
        <w:rPr>
          <w:rFonts w:hint="default" w:ascii="Times New Roman" w:hAnsi="Times New Roman" w:cs="Times New Roman"/>
          <w:color w:val="auto"/>
          <w:szCs w:val="22"/>
        </w:rPr>
      </w:pPr>
      <w:r>
        <w:rPr>
          <w:rFonts w:hint="default" w:ascii="Times New Roman" w:hAnsi="Times New Roman" w:cs="Times New Roman"/>
          <w:color w:val="auto"/>
          <w:szCs w:val="22"/>
          <w:lang w:eastAsia="zh-CN"/>
        </w:rPr>
        <w:tab/>
      </w:r>
      <w:r>
        <w:rPr>
          <w:rFonts w:hint="default" w:ascii="Times New Roman" w:hAnsi="Times New Roman" w:cs="Times New Roman"/>
          <w:color w:val="auto"/>
          <w:szCs w:val="22"/>
          <w:lang w:eastAsia="zh-CN"/>
        </w:rPr>
        <w:t>本文件</w:t>
      </w:r>
      <w:r>
        <w:rPr>
          <w:rFonts w:hint="default" w:ascii="Times New Roman" w:hAnsi="Times New Roman" w:cs="Times New Roman"/>
          <w:color w:val="auto"/>
          <w:szCs w:val="22"/>
        </w:rPr>
        <w:t>按照GB/T 1.1―2020《标准化工作导则</w:t>
      </w:r>
      <w:r>
        <w:rPr>
          <w:rFonts w:hint="default" w:ascii="Times New Roman" w:hAnsi="Times New Roman" w:cs="Times New Roman"/>
          <w:color w:val="auto"/>
          <w:szCs w:val="22"/>
          <w:lang w:val="en-US" w:eastAsia="zh-CN"/>
        </w:rPr>
        <w:t xml:space="preserve"> </w:t>
      </w:r>
      <w:r>
        <w:rPr>
          <w:rFonts w:hint="default" w:ascii="Times New Roman" w:hAnsi="Times New Roman" w:cs="Times New Roman"/>
          <w:color w:val="auto"/>
          <w:szCs w:val="22"/>
        </w:rPr>
        <w:t>第1部分：标准化文件的结构和起草规则》给出的规则起草。</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bookmarkStart w:id="6" w:name="OLE_LINK125"/>
      <w:r>
        <w:rPr>
          <w:rFonts w:hint="default" w:ascii="Times New Roman" w:hAnsi="Times New Roman" w:cs="Times New Roman"/>
          <w:color w:val="auto"/>
          <w:lang w:val="en-US" w:eastAsia="zh-CN"/>
        </w:rPr>
        <w:t>增加了</w:t>
      </w:r>
      <w:bookmarkEnd w:id="6"/>
      <w:r>
        <w:rPr>
          <w:rFonts w:hint="eastAsia" w:ascii="Times New Roman" w:hAnsi="Times New Roman" w:cs="Times New Roman"/>
          <w:color w:val="auto"/>
          <w:lang w:val="en-US" w:eastAsia="zh-CN"/>
        </w:rPr>
        <w:t>“充电设施检测项目”“一般检验（现场检测）”的“技术资料核查”（</w:t>
      </w:r>
      <w:bookmarkStart w:id="7" w:name="OLE_LINK10"/>
      <w:r>
        <w:rPr>
          <w:rFonts w:hint="eastAsia" w:ascii="Times New Roman" w:hAnsi="Times New Roman" w:cs="Times New Roman"/>
          <w:color w:val="auto"/>
          <w:lang w:val="en-US" w:eastAsia="zh-CN"/>
        </w:rPr>
        <w:t>见2024版的4.1.1</w:t>
      </w:r>
      <w:bookmarkEnd w:id="7"/>
      <w:r>
        <w:rPr>
          <w:rFonts w:hint="eastAsia" w:ascii="Times New Roman" w:hAnsi="Times New Roman" w:cs="Times New Roman"/>
          <w:color w:val="auto"/>
          <w:lang w:val="en-US" w:eastAsia="zh-CN"/>
        </w:rPr>
        <w:t>）；</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更改了“场站配套检测项目”“行车道和停车位”</w:t>
      </w:r>
      <w:bookmarkStart w:id="8" w:name="OLE_LINK12"/>
      <w:r>
        <w:rPr>
          <w:rFonts w:hint="eastAsia" w:ascii="Times New Roman" w:hAnsi="Times New Roman" w:cs="Times New Roman"/>
          <w:color w:val="auto"/>
          <w:lang w:val="en-US" w:eastAsia="zh-CN"/>
        </w:rPr>
        <w:t>（见2024版的6.1.3）</w:t>
      </w:r>
      <w:bookmarkEnd w:id="8"/>
      <w:r>
        <w:rPr>
          <w:rFonts w:hint="eastAsia" w:ascii="Times New Roman" w:hAnsi="Times New Roman" w:cs="Times New Roman"/>
          <w:color w:val="auto"/>
          <w:lang w:val="en-US" w:eastAsia="zh-CN"/>
        </w:rPr>
        <w:t>；</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szCs w:val="22"/>
          <w:lang w:eastAsia="zh-CN"/>
        </w:rPr>
      </w:pPr>
      <w:r>
        <w:rPr>
          <w:rFonts w:hint="eastAsia" w:ascii="Times New Roman" w:hAnsi="Times New Roman" w:cs="Times New Roman"/>
          <w:color w:val="auto"/>
          <w:lang w:val="en-US" w:eastAsia="zh-CN"/>
        </w:rPr>
        <w:t>在“充电设施检测”增加了“噪声检测”（</w:t>
      </w:r>
      <w:bookmarkStart w:id="9" w:name="OLE_LINK14"/>
      <w:r>
        <w:rPr>
          <w:rFonts w:hint="eastAsia" w:ascii="Times New Roman" w:hAnsi="Times New Roman" w:cs="Times New Roman"/>
          <w:color w:val="auto"/>
          <w:lang w:val="en-US" w:eastAsia="zh-CN"/>
        </w:rPr>
        <w:t>见2024版的4.3.5</w:t>
      </w:r>
      <w:bookmarkEnd w:id="9"/>
      <w:r>
        <w:rPr>
          <w:rFonts w:hint="eastAsia" w:ascii="Times New Roman" w:hAnsi="Times New Roman" w:cs="Times New Roman"/>
          <w:color w:val="auto"/>
          <w:lang w:val="en-US" w:eastAsia="zh-CN"/>
        </w:rPr>
        <w:t>）。</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auto"/>
          <w:szCs w:val="22"/>
          <w:lang w:eastAsia="zh-CN"/>
        </w:rPr>
      </w:pPr>
      <w:r>
        <w:rPr>
          <w:rFonts w:hint="eastAsia" w:ascii="Times New Roman" w:hAnsi="Times New Roman" w:cs="Times New Roman"/>
          <w:color w:val="auto"/>
          <w:szCs w:val="22"/>
          <w:lang w:val="en-US" w:eastAsia="zh-CN"/>
        </w:rPr>
        <w:t>更改了“充电站配套检测”的“巡查维保”（</w:t>
      </w:r>
      <w:r>
        <w:rPr>
          <w:rFonts w:hint="eastAsia" w:ascii="Times New Roman" w:hAnsi="Times New Roman" w:cs="Times New Roman"/>
          <w:color w:val="auto"/>
          <w:lang w:val="en-US" w:eastAsia="zh-CN"/>
        </w:rPr>
        <w:t>见2024版的5.2.1</w:t>
      </w:r>
      <w:r>
        <w:rPr>
          <w:rFonts w:hint="eastAsia" w:ascii="Times New Roman" w:hAnsi="Times New Roman" w:cs="Times New Roman"/>
          <w:color w:val="auto"/>
          <w:szCs w:val="22"/>
          <w:lang w:val="en-US" w:eastAsia="zh-CN"/>
        </w:rPr>
        <w:t>）。</w:t>
      </w:r>
    </w:p>
    <w:p>
      <w:pPr>
        <w:pStyle w:val="28"/>
        <w:rPr>
          <w:rFonts w:hint="default" w:ascii="Times New Roman" w:hAnsi="Times New Roman" w:cs="Times New Roman"/>
          <w:color w:val="auto"/>
          <w:szCs w:val="22"/>
        </w:rPr>
      </w:pPr>
      <w:r>
        <w:rPr>
          <w:rFonts w:hint="default" w:ascii="Times New Roman" w:hAnsi="Times New Roman" w:cs="Times New Roman"/>
          <w:color w:val="auto"/>
          <w:szCs w:val="22"/>
          <w:lang w:eastAsia="zh-CN"/>
        </w:rPr>
        <w:t>本文件代替 T/CAAMTB 193.</w:t>
      </w:r>
      <w:r>
        <w:rPr>
          <w:rFonts w:hint="default" w:ascii="Times New Roman" w:cs="Times New Roman"/>
          <w:color w:val="auto"/>
          <w:szCs w:val="22"/>
          <w:lang w:eastAsia="zh-CN"/>
        </w:rPr>
        <w:t>2</w:t>
      </w:r>
      <w:r>
        <w:rPr>
          <w:rFonts w:hint="default" w:ascii="Times New Roman" w:hAnsi="Times New Roman" w:cs="Times New Roman"/>
          <w:color w:val="auto"/>
          <w:szCs w:val="22"/>
          <w:lang w:eastAsia="zh-CN"/>
        </w:rPr>
        <w:t xml:space="preserve">-2024《电动汽车充电设施及场站测试评价规范 </w:t>
      </w:r>
      <w:r>
        <w:rPr>
          <w:rFonts w:hint="default" w:ascii="Times New Roman" w:cs="Times New Roman"/>
          <w:color w:val="auto"/>
          <w:szCs w:val="22"/>
          <w:lang w:eastAsia="zh-CN"/>
        </w:rPr>
        <w:t>场站设施</w:t>
      </w:r>
      <w:r>
        <w:rPr>
          <w:rFonts w:hint="default" w:ascii="Times New Roman" w:hAnsi="Times New Roman" w:cs="Times New Roman"/>
          <w:color w:val="auto"/>
          <w:szCs w:val="22"/>
          <w:lang w:eastAsia="zh-CN"/>
        </w:rPr>
        <w:t>》。除编辑性改动外，主要技术变化如下：本文件</w:t>
      </w:r>
      <w:r>
        <w:rPr>
          <w:rFonts w:hint="default" w:ascii="Times New Roman" w:hAnsi="Times New Roman" w:cs="Times New Roman"/>
          <w:color w:val="auto"/>
          <w:szCs w:val="22"/>
        </w:rPr>
        <w:t>对电动汽车充电场站设施及场站服务能力等相关技术能力进行评价，遵循设施安全可用、服务高质高效等原则，提高充电质量，满足车主对美好充电体验的需求。</w:t>
      </w:r>
    </w:p>
    <w:p>
      <w:pPr>
        <w:pStyle w:val="28"/>
        <w:rPr>
          <w:rFonts w:hint="default" w:ascii="Times New Roman" w:hAnsi="Times New Roman" w:cs="Times New Roman"/>
          <w:color w:val="auto"/>
          <w:szCs w:val="22"/>
        </w:rPr>
      </w:pPr>
      <w:r>
        <w:rPr>
          <w:rFonts w:hint="default" w:ascii="Times New Roman" w:hAnsi="Times New Roman" w:cs="Times New Roman"/>
          <w:color w:val="auto"/>
          <w:szCs w:val="22"/>
        </w:rPr>
        <w:t>T/CAAMTB XX《电动汽车充电设施及场站测试评价规范》</w:t>
      </w:r>
      <w:r>
        <w:rPr>
          <w:rFonts w:hint="default" w:ascii="Times New Roman" w:hAnsi="Times New Roman" w:cs="Times New Roman"/>
          <w:color w:val="auto"/>
          <w:szCs w:val="22"/>
          <w:lang w:val="en-US" w:eastAsia="zh-CN"/>
        </w:rPr>
        <w:t>系列标准</w:t>
      </w:r>
      <w:r>
        <w:rPr>
          <w:rFonts w:hint="default" w:ascii="Times New Roman" w:hAnsi="Times New Roman" w:cs="Times New Roman"/>
          <w:color w:val="auto"/>
          <w:szCs w:val="22"/>
        </w:rPr>
        <w:t>共分为</w:t>
      </w:r>
      <w:r>
        <w:rPr>
          <w:rFonts w:hint="default" w:ascii="Times New Roman" w:hAnsi="Times New Roman" w:cs="Times New Roman"/>
          <w:color w:val="auto"/>
          <w:szCs w:val="22"/>
          <w:lang w:val="en-US" w:eastAsia="zh-CN"/>
        </w:rPr>
        <w:t>3</w:t>
      </w:r>
      <w:r>
        <w:rPr>
          <w:rFonts w:hint="default" w:ascii="Times New Roman" w:hAnsi="Times New Roman" w:cs="Times New Roman"/>
          <w:color w:val="auto"/>
          <w:szCs w:val="22"/>
        </w:rPr>
        <w:t>部分，其中总则1项、</w:t>
      </w:r>
      <w:r>
        <w:rPr>
          <w:rFonts w:hint="default" w:ascii="Times New Roman" w:hAnsi="Times New Roman" w:cs="Times New Roman"/>
          <w:color w:val="auto"/>
          <w:szCs w:val="22"/>
          <w:lang w:val="en-US" w:eastAsia="zh-CN"/>
        </w:rPr>
        <w:t>场站设施</w:t>
      </w:r>
      <w:r>
        <w:rPr>
          <w:rFonts w:hint="default" w:ascii="Times New Roman" w:hAnsi="Times New Roman" w:cs="Times New Roman"/>
          <w:color w:val="auto"/>
          <w:szCs w:val="22"/>
        </w:rPr>
        <w:t>1项、</w:t>
      </w:r>
      <w:r>
        <w:rPr>
          <w:rFonts w:hint="default" w:ascii="Times New Roman" w:hAnsi="Times New Roman" w:cs="Times New Roman"/>
          <w:color w:val="auto"/>
          <w:szCs w:val="22"/>
          <w:lang w:val="en-US" w:eastAsia="zh-CN"/>
        </w:rPr>
        <w:t>场站</w:t>
      </w:r>
      <w:r>
        <w:rPr>
          <w:rFonts w:hint="default" w:ascii="Times New Roman" w:hAnsi="Times New Roman" w:cs="Times New Roman"/>
          <w:color w:val="auto"/>
          <w:szCs w:val="22"/>
        </w:rPr>
        <w:t>服务能力1项，分别规定了电动汽车充电设施及场站测试评价的相关技术规范和要求：</w:t>
      </w:r>
    </w:p>
    <w:p>
      <w:pPr>
        <w:pStyle w:val="28"/>
        <w:rPr>
          <w:rFonts w:hint="default" w:ascii="Times New Roman" w:hAnsi="Times New Roman" w:cs="Times New Roman"/>
          <w:color w:val="auto"/>
          <w:szCs w:val="22"/>
          <w:lang w:eastAsia="zh-CN"/>
        </w:rPr>
      </w:pPr>
      <w:r>
        <w:rPr>
          <w:rFonts w:hint="default" w:ascii="Times New Roman" w:hAnsi="Times New Roman" w:cs="Times New Roman"/>
          <w:color w:val="auto"/>
          <w:szCs w:val="22"/>
          <w:lang w:eastAsia="zh-CN"/>
        </w:rPr>
        <w:t>——第1部分：总则；</w:t>
      </w:r>
    </w:p>
    <w:p>
      <w:pPr>
        <w:pStyle w:val="28"/>
        <w:rPr>
          <w:rFonts w:hint="default" w:ascii="Times New Roman" w:hAnsi="Times New Roman" w:cs="Times New Roman"/>
          <w:color w:val="auto"/>
          <w:szCs w:val="22"/>
          <w:lang w:eastAsia="zh-CN"/>
        </w:rPr>
      </w:pPr>
      <w:r>
        <w:rPr>
          <w:rFonts w:hint="default" w:ascii="Times New Roman" w:hAnsi="Times New Roman" w:cs="Times New Roman"/>
          <w:color w:val="auto"/>
          <w:szCs w:val="22"/>
          <w:lang w:eastAsia="zh-CN"/>
        </w:rPr>
        <w:t>——第2部分：场站设施；</w:t>
      </w:r>
    </w:p>
    <w:p>
      <w:pPr>
        <w:pStyle w:val="28"/>
        <w:rPr>
          <w:rFonts w:hint="default" w:ascii="Times New Roman" w:hAnsi="Times New Roman" w:cs="Times New Roman"/>
          <w:color w:val="auto"/>
          <w:szCs w:val="22"/>
          <w:lang w:eastAsia="zh-CN"/>
        </w:rPr>
      </w:pPr>
      <w:r>
        <w:rPr>
          <w:rFonts w:hint="default" w:ascii="Times New Roman" w:hAnsi="Times New Roman" w:cs="Times New Roman"/>
          <w:color w:val="auto"/>
          <w:szCs w:val="22"/>
          <w:lang w:eastAsia="zh-CN"/>
        </w:rPr>
        <w:t>——第3部分：</w:t>
      </w:r>
      <w:bookmarkStart w:id="10" w:name="OLE_LINK1"/>
      <w:r>
        <w:rPr>
          <w:rFonts w:hint="default" w:ascii="Times New Roman" w:hAnsi="Times New Roman" w:cs="Times New Roman"/>
          <w:color w:val="auto"/>
          <w:szCs w:val="22"/>
          <w:lang w:eastAsia="zh-CN"/>
        </w:rPr>
        <w:t>场站服务能力</w:t>
      </w:r>
      <w:bookmarkEnd w:id="10"/>
      <w:r>
        <w:rPr>
          <w:rFonts w:hint="default" w:ascii="Times New Roman" w:hAnsi="Times New Roman" w:cs="Times New Roman"/>
          <w:color w:val="auto"/>
          <w:szCs w:val="22"/>
          <w:lang w:eastAsia="zh-CN"/>
        </w:rPr>
        <w:t>。</w:t>
      </w:r>
    </w:p>
    <w:p>
      <w:pPr>
        <w:pStyle w:val="28"/>
        <w:rPr>
          <w:rFonts w:hint="default" w:ascii="Times New Roman" w:hAnsi="Times New Roman" w:cs="Times New Roman"/>
          <w:color w:val="auto"/>
          <w:szCs w:val="22"/>
        </w:rPr>
      </w:pPr>
      <w:r>
        <w:rPr>
          <w:rFonts w:hint="default" w:ascii="Times New Roman" w:hAnsi="Times New Roman" w:cs="Times New Roman"/>
          <w:color w:val="auto"/>
          <w:szCs w:val="22"/>
          <w:lang w:eastAsia="zh-CN"/>
        </w:rPr>
        <w:t>本文件</w:t>
      </w:r>
      <w:r>
        <w:rPr>
          <w:rFonts w:hint="default" w:ascii="Times New Roman" w:hAnsi="Times New Roman" w:cs="Times New Roman"/>
          <w:color w:val="auto"/>
          <w:szCs w:val="22"/>
        </w:rPr>
        <w:t xml:space="preserve">为T/CAAMTB </w:t>
      </w:r>
      <w:r>
        <w:rPr>
          <w:rFonts w:hint="default" w:ascii="Times New Roman" w:hAnsi="Times New Roman" w:cs="Times New Roman"/>
          <w:color w:val="auto"/>
          <w:szCs w:val="22"/>
          <w:lang w:val="en-US" w:eastAsia="zh-CN"/>
        </w:rPr>
        <w:t>193</w:t>
      </w:r>
      <w:r>
        <w:rPr>
          <w:rFonts w:hint="default" w:ascii="Times New Roman" w:hAnsi="Times New Roman" w:cs="Times New Roman"/>
          <w:color w:val="auto"/>
          <w:szCs w:val="22"/>
        </w:rPr>
        <w:t>《电动汽车充电设施及场站测试评价规范》的第</w:t>
      </w:r>
      <w:r>
        <w:rPr>
          <w:rFonts w:hint="default" w:ascii="Times New Roman" w:hAnsi="Times New Roman" w:cs="Times New Roman"/>
          <w:color w:val="auto"/>
          <w:szCs w:val="22"/>
          <w:lang w:val="en-US" w:eastAsia="zh-CN"/>
        </w:rPr>
        <w:t>2</w:t>
      </w:r>
      <w:r>
        <w:rPr>
          <w:rFonts w:hint="default" w:ascii="Times New Roman" w:hAnsi="Times New Roman" w:cs="Times New Roman"/>
          <w:color w:val="auto"/>
          <w:szCs w:val="22"/>
        </w:rPr>
        <w:t>部分。</w:t>
      </w:r>
    </w:p>
    <w:p>
      <w:pPr>
        <w:pStyle w:val="28"/>
        <w:rPr>
          <w:rFonts w:hint="default" w:ascii="Times New Roman" w:hAnsi="Times New Roman" w:cs="Times New Roman"/>
          <w:color w:val="auto"/>
          <w:szCs w:val="22"/>
        </w:rPr>
      </w:pPr>
      <w:r>
        <w:rPr>
          <w:rFonts w:hint="default" w:ascii="Times New Roman" w:hAnsi="Times New Roman" w:cs="Times New Roman"/>
          <w:color w:val="auto"/>
          <w:szCs w:val="22"/>
        </w:rPr>
        <w:t>请注意本文件的某些内容可能涉及专利。本文件的发布机构不承担识别专利的责任。</w:t>
      </w:r>
    </w:p>
    <w:p>
      <w:pPr>
        <w:pStyle w:val="28"/>
        <w:rPr>
          <w:rFonts w:hint="default" w:ascii="Times New Roman" w:hAnsi="Times New Roman" w:cs="Times New Roman"/>
          <w:color w:val="auto"/>
          <w:szCs w:val="22"/>
        </w:rPr>
      </w:pPr>
      <w:r>
        <w:rPr>
          <w:rFonts w:hint="default" w:ascii="Times New Roman" w:hAnsi="Times New Roman" w:cs="Times New Roman"/>
          <w:color w:val="auto"/>
          <w:szCs w:val="22"/>
        </w:rPr>
        <w:t>本文件由中国汽车工业协会提出并归口。</w:t>
      </w:r>
    </w:p>
    <w:p>
      <w:pPr>
        <w:pStyle w:val="28"/>
        <w:rPr>
          <w:rFonts w:hint="default" w:ascii="Times New Roman" w:hAnsi="Times New Roman" w:cs="Times New Roman"/>
          <w:color w:val="auto"/>
          <w:szCs w:val="22"/>
        </w:rPr>
      </w:pPr>
      <w:r>
        <w:rPr>
          <w:rFonts w:hint="default" w:ascii="Times New Roman" w:hAnsi="Times New Roman" w:cs="Times New Roman"/>
          <w:color w:val="auto"/>
          <w:szCs w:val="22"/>
        </w:rPr>
        <w:t>本文件起草单位：</w:t>
      </w:r>
      <w:bookmarkStart w:id="11" w:name="OLE_LINK2"/>
      <w:r>
        <w:rPr>
          <w:rFonts w:hint="default" w:ascii="Times New Roman" w:hAnsi="Times New Roman" w:cs="Times New Roman"/>
          <w:color w:val="auto"/>
          <w:szCs w:val="22"/>
          <w:lang w:val="en-US" w:eastAsia="zh-CN"/>
        </w:rPr>
        <w:t>略。</w:t>
      </w:r>
      <w:bookmarkEnd w:id="11"/>
    </w:p>
    <w:p>
      <w:pPr>
        <w:pStyle w:val="28"/>
        <w:rPr>
          <w:rFonts w:hint="default" w:ascii="Times New Roman" w:hAnsi="Times New Roman" w:cs="Times New Roman"/>
          <w:color w:val="auto"/>
          <w:szCs w:val="22"/>
        </w:rPr>
      </w:pPr>
      <w:r>
        <w:rPr>
          <w:rFonts w:hint="default" w:ascii="Times New Roman" w:hAnsi="Times New Roman" w:cs="Times New Roman"/>
          <w:color w:val="auto"/>
          <w:szCs w:val="22"/>
        </w:rPr>
        <w:t>本文件主要起草人：</w:t>
      </w:r>
      <w:r>
        <w:rPr>
          <w:rFonts w:hint="default" w:ascii="Times New Roman" w:hAnsi="Times New Roman" w:cs="Times New Roman"/>
          <w:color w:val="auto"/>
          <w:szCs w:val="22"/>
          <w:lang w:val="en-US" w:eastAsia="zh-CN"/>
        </w:rPr>
        <w:t>略。</w:t>
      </w:r>
    </w:p>
    <w:p>
      <w:pPr>
        <w:pStyle w:val="28"/>
        <w:rPr>
          <w:rFonts w:hint="default" w:ascii="Times New Roman" w:hAnsi="Times New Roman" w:cs="Times New Roman"/>
          <w:color w:val="auto"/>
          <w:szCs w:val="22"/>
        </w:rPr>
      </w:pPr>
      <w:r>
        <w:rPr>
          <w:rFonts w:hint="default" w:ascii="Times New Roman" w:hAnsi="Times New Roman" w:cs="Times New Roman"/>
          <w:color w:val="auto"/>
          <w:szCs w:val="22"/>
        </w:rPr>
        <w:t>本文件所替代文件的历次版本发布情况为:</w:t>
      </w:r>
    </w:p>
    <w:p>
      <w:pPr>
        <w:pStyle w:val="28"/>
        <w:rPr>
          <w:rFonts w:hint="default" w:ascii="Times New Roman" w:hAnsi="Times New Roman" w:cs="Times New Roman"/>
          <w:color w:val="auto"/>
        </w:rPr>
      </w:pPr>
      <w:r>
        <w:rPr>
          <w:rFonts w:hint="default" w:ascii="Times New Roman" w:hAnsi="Times New Roman" w:cs="Times New Roman"/>
          <w:color w:val="auto"/>
          <w:szCs w:val="22"/>
          <w:lang w:eastAsia="zh-CN"/>
        </w:rPr>
        <w:t>——</w:t>
      </w:r>
      <w:r>
        <w:rPr>
          <w:rFonts w:hint="default" w:ascii="Times New Roman" w:hAnsi="Times New Roman" w:cs="Times New Roman"/>
          <w:color w:val="auto"/>
          <w:szCs w:val="22"/>
        </w:rPr>
        <w:t>20</w:t>
      </w:r>
      <w:r>
        <w:rPr>
          <w:rFonts w:hint="default" w:ascii="Times New Roman" w:hAnsi="Times New Roman" w:cs="Times New Roman"/>
          <w:color w:val="auto"/>
          <w:szCs w:val="22"/>
          <w:lang w:val="en-US" w:eastAsia="zh-CN"/>
        </w:rPr>
        <w:t>24</w:t>
      </w:r>
      <w:r>
        <w:rPr>
          <w:rFonts w:hint="default" w:ascii="Times New Roman" w:hAnsi="Times New Roman" w:cs="Times New Roman"/>
          <w:color w:val="auto"/>
          <w:szCs w:val="22"/>
        </w:rPr>
        <w:t xml:space="preserve">年首次发布为T/CAAMTB </w:t>
      </w:r>
      <w:r>
        <w:rPr>
          <w:rFonts w:hint="default" w:ascii="Times New Roman" w:hAnsi="Times New Roman" w:cs="Times New Roman"/>
          <w:color w:val="auto"/>
          <w:szCs w:val="22"/>
          <w:lang w:val="en-US" w:eastAsia="zh-CN"/>
        </w:rPr>
        <w:t>193.2</w:t>
      </w:r>
      <w:r>
        <w:rPr>
          <w:rFonts w:hint="default" w:ascii="Times New Roman" w:hAnsi="Times New Roman" w:cs="Times New Roman"/>
          <w:color w:val="auto"/>
          <w:szCs w:val="22"/>
        </w:rPr>
        <w:t>-20</w:t>
      </w:r>
      <w:r>
        <w:rPr>
          <w:rFonts w:hint="default" w:ascii="Times New Roman" w:hAnsi="Times New Roman" w:cs="Times New Roman"/>
          <w:color w:val="auto"/>
          <w:szCs w:val="22"/>
          <w:lang w:val="en-US" w:eastAsia="zh-CN"/>
        </w:rPr>
        <w:t>24</w:t>
      </w:r>
      <w:r>
        <w:rPr>
          <w:rFonts w:hint="default" w:ascii="Times New Roman" w:hAnsi="Times New Roman" w:cs="Times New Roman"/>
          <w:color w:val="auto"/>
          <w:szCs w:val="22"/>
        </w:rPr>
        <w:t>，本次为第一次修订</w:t>
      </w:r>
      <w:r>
        <w:rPr>
          <w:rFonts w:hint="default" w:ascii="Times New Roman" w:hAnsi="Times New Roman" w:cs="Times New Roman"/>
          <w:color w:val="auto"/>
        </w:rPr>
        <w:t>。</w:t>
      </w:r>
    </w:p>
    <w:p>
      <w:pPr>
        <w:spacing w:line="340" w:lineRule="exact"/>
        <w:ind w:firstLine="420" w:firstLineChars="200"/>
        <w:rPr>
          <w:rFonts w:hint="default" w:ascii="Times New Roman" w:hAnsi="Times New Roman" w:cs="Times New Roman"/>
          <w:color w:val="auto"/>
          <w:szCs w:val="21"/>
          <w:highlight w:val="none"/>
        </w:rPr>
      </w:pPr>
      <w:bookmarkStart w:id="12" w:name="BZ"/>
      <w:bookmarkEnd w:id="12"/>
    </w:p>
    <w:p>
      <w:pPr>
        <w:spacing w:line="360" w:lineRule="auto"/>
        <w:jc w:val="center"/>
        <w:rPr>
          <w:rFonts w:hint="default" w:ascii="Times New Roman" w:hAnsi="Times New Roman" w:eastAsia="黑体" w:cs="Times New Roman"/>
          <w:color w:val="auto"/>
          <w:sz w:val="32"/>
          <w:szCs w:val="32"/>
          <w:highlight w:val="none"/>
        </w:rPr>
      </w:pPr>
    </w:p>
    <w:p>
      <w:pPr>
        <w:spacing w:line="360" w:lineRule="auto"/>
        <w:jc w:val="center"/>
        <w:rPr>
          <w:rFonts w:hint="default" w:ascii="Times New Roman" w:hAnsi="Times New Roman" w:eastAsia="黑体" w:cs="Times New Roman"/>
          <w:color w:val="auto"/>
          <w:sz w:val="32"/>
          <w:szCs w:val="32"/>
          <w:highlight w:val="none"/>
        </w:rPr>
        <w:sectPr>
          <w:pgSz w:w="11906" w:h="16838"/>
          <w:pgMar w:top="1440" w:right="1800" w:bottom="1440" w:left="1800" w:header="850" w:footer="994" w:gutter="0"/>
          <w:pgNumType w:fmt="upperRoman"/>
          <w:cols w:space="425" w:num="1"/>
          <w:titlePg/>
          <w:docGrid w:type="lines" w:linePitch="312" w:charSpace="0"/>
        </w:sectPr>
      </w:pPr>
    </w:p>
    <w:p>
      <w:pPr>
        <w:spacing w:line="360" w:lineRule="auto"/>
        <w:jc w:val="center"/>
        <w:outlineLvl w:val="0"/>
        <w:rPr>
          <w:rFonts w:hint="default" w:ascii="Times New Roman" w:hAnsi="Times New Roman" w:eastAsia="黑体" w:cs="Times New Roman"/>
          <w:color w:val="auto"/>
          <w:sz w:val="32"/>
          <w:szCs w:val="32"/>
          <w:highlight w:val="none"/>
        </w:rPr>
      </w:pPr>
      <w:bookmarkStart w:id="13" w:name="_Toc28496"/>
      <w:r>
        <w:rPr>
          <w:rFonts w:hint="default" w:ascii="Times New Roman" w:hAnsi="Times New Roman" w:eastAsia="黑体" w:cs="Times New Roman"/>
          <w:color w:val="auto"/>
          <w:sz w:val="32"/>
          <w:szCs w:val="32"/>
          <w:highlight w:val="none"/>
        </w:rPr>
        <w:t>电动汽车充电设施及场站测试评价规范</w:t>
      </w:r>
      <w:bookmarkEnd w:id="13"/>
    </w:p>
    <w:p>
      <w:pPr>
        <w:spacing w:line="360" w:lineRule="auto"/>
        <w:jc w:val="center"/>
        <w:outlineLvl w:val="0"/>
        <w:rPr>
          <w:rFonts w:hint="default" w:ascii="Times New Roman" w:hAnsi="Times New Roman" w:eastAsia="黑体" w:cs="Times New Roman"/>
          <w:color w:val="auto"/>
          <w:sz w:val="32"/>
          <w:szCs w:val="32"/>
          <w:highlight w:val="none"/>
        </w:rPr>
      </w:pPr>
      <w:bookmarkStart w:id="14" w:name="_Toc32590"/>
      <w:r>
        <w:rPr>
          <w:rFonts w:hint="default" w:ascii="Times New Roman" w:hAnsi="Times New Roman" w:eastAsia="黑体" w:cs="Times New Roman"/>
          <w:color w:val="auto"/>
          <w:sz w:val="32"/>
          <w:szCs w:val="32"/>
          <w:highlight w:val="none"/>
        </w:rPr>
        <w:t>场站设施</w:t>
      </w:r>
      <w:bookmarkEnd w:id="14"/>
    </w:p>
    <w:p>
      <w:pPr>
        <w:pStyle w:val="32"/>
        <w:spacing w:before="312" w:after="312"/>
        <w:ind w:left="0"/>
        <w:outlineLvl w:val="0"/>
        <w:rPr>
          <w:rFonts w:hint="default" w:ascii="Times New Roman" w:hAnsi="Times New Roman" w:cs="Times New Roman"/>
          <w:color w:val="auto"/>
          <w:highlight w:val="none"/>
        </w:rPr>
      </w:pPr>
      <w:bookmarkStart w:id="15" w:name="_Toc15904"/>
      <w:bookmarkStart w:id="16" w:name="_Toc58832688"/>
      <w:bookmarkStart w:id="17" w:name="_Toc502131354"/>
      <w:bookmarkStart w:id="18" w:name="_Toc21832"/>
      <w:r>
        <w:rPr>
          <w:rFonts w:hint="default" w:ascii="Times New Roman" w:hAnsi="Times New Roman" w:cs="Times New Roman"/>
          <w:color w:val="auto"/>
          <w:highlight w:val="none"/>
        </w:rPr>
        <w:t>范围</w:t>
      </w:r>
      <w:bookmarkEnd w:id="15"/>
      <w:bookmarkEnd w:id="16"/>
      <w:bookmarkEnd w:id="17"/>
      <w:bookmarkEnd w:id="18"/>
      <w:bookmarkStart w:id="19" w:name="_Toc502131355"/>
    </w:p>
    <w:p>
      <w:pPr>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本文件规定了电动汽车充电设施及场站的测试</w:t>
      </w:r>
      <w:r>
        <w:rPr>
          <w:rFonts w:hint="default" w:ascii="Times New Roman" w:hAnsi="Times New Roman" w:cs="Times New Roman"/>
          <w:color w:val="auto"/>
          <w:highlight w:val="none"/>
          <w:lang w:val="en-US" w:eastAsia="zh-CN"/>
        </w:rPr>
        <w:t>评价</w:t>
      </w:r>
      <w:r>
        <w:rPr>
          <w:rFonts w:hint="default" w:ascii="Times New Roman" w:hAnsi="Times New Roman" w:cs="Times New Roman"/>
          <w:color w:val="auto"/>
          <w:highlight w:val="none"/>
        </w:rPr>
        <w:t>规范，包括对充电设施的功能、性能、安全等要求以及充电场站配套要求。</w:t>
      </w:r>
    </w:p>
    <w:p>
      <w:pPr>
        <w:bidi w:val="0"/>
        <w:ind w:firstLine="420" w:firstLineChars="200"/>
        <w:rPr>
          <w:rFonts w:hint="default" w:ascii="Times New Roman" w:hAnsi="Times New Roman" w:cs="Times New Roman"/>
          <w:color w:val="auto"/>
        </w:rPr>
      </w:pPr>
      <w:r>
        <w:rPr>
          <w:rFonts w:hint="default" w:ascii="Times New Roman" w:hAnsi="Times New Roman" w:cs="Times New Roman"/>
          <w:color w:val="auto"/>
          <w:lang w:eastAsia="zh-CN"/>
        </w:rPr>
        <w:t>本文件</w:t>
      </w:r>
      <w:r>
        <w:rPr>
          <w:rFonts w:hint="default" w:ascii="Times New Roman" w:hAnsi="Times New Roman" w:cs="Times New Roman"/>
          <w:color w:val="auto"/>
        </w:rPr>
        <w:t>适用于已建成运营的电动汽车公用充电场站，不适用于</w:t>
      </w:r>
      <w:r>
        <w:rPr>
          <w:rFonts w:hint="eastAsia" w:cs="Times New Roman"/>
          <w:color w:val="auto"/>
          <w:lang w:val="en-US" w:eastAsia="zh-CN"/>
        </w:rPr>
        <w:t>未</w:t>
      </w:r>
      <w:r>
        <w:rPr>
          <w:rFonts w:hint="default" w:ascii="Times New Roman" w:hAnsi="Times New Roman" w:cs="Times New Roman"/>
          <w:color w:val="auto"/>
        </w:rPr>
        <w:t>建</w:t>
      </w:r>
      <w:r>
        <w:rPr>
          <w:rFonts w:hint="eastAsia" w:cs="Times New Roman"/>
          <w:color w:val="auto"/>
          <w:lang w:val="en-US" w:eastAsia="zh-CN"/>
        </w:rPr>
        <w:t>成</w:t>
      </w:r>
      <w:r>
        <w:rPr>
          <w:rFonts w:hint="default" w:ascii="Times New Roman" w:hAnsi="Times New Roman" w:cs="Times New Roman"/>
          <w:color w:val="auto"/>
        </w:rPr>
        <w:t>的充电场站。</w:t>
      </w:r>
    </w:p>
    <w:p>
      <w:pPr>
        <w:pStyle w:val="28"/>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本文件适用于充电服务运营商、充电运营的相关方（如车企、主管部门等）对其符合性的确认，也适用于第三方机构对电动汽车充电场站实施评价分级活动。</w:t>
      </w:r>
    </w:p>
    <w:p>
      <w:pPr>
        <w:pStyle w:val="32"/>
        <w:spacing w:before="312" w:after="312"/>
        <w:ind w:left="0"/>
        <w:outlineLvl w:val="0"/>
        <w:rPr>
          <w:rFonts w:hint="default" w:ascii="Times New Roman" w:hAnsi="Times New Roman" w:cs="Times New Roman"/>
          <w:color w:val="auto"/>
          <w:highlight w:val="none"/>
        </w:rPr>
      </w:pPr>
      <w:bookmarkStart w:id="20" w:name="_Toc3192"/>
      <w:bookmarkStart w:id="21" w:name="_Toc58832689"/>
      <w:bookmarkStart w:id="22" w:name="_Toc19388"/>
      <w:r>
        <w:rPr>
          <w:rFonts w:hint="default" w:ascii="Times New Roman" w:cs="Times New Roman"/>
          <w:color w:val="auto"/>
          <w:highlight w:val="none"/>
        </w:rPr>
        <w:t xml:space="preserve"> </w:t>
      </w:r>
      <w:r>
        <w:rPr>
          <w:rFonts w:hint="default" w:ascii="Times New Roman" w:hAnsi="Times New Roman" w:cs="Times New Roman"/>
          <w:color w:val="auto"/>
          <w:highlight w:val="none"/>
        </w:rPr>
        <w:t>规范性引用文件</w:t>
      </w:r>
      <w:bookmarkEnd w:id="19"/>
      <w:bookmarkEnd w:id="20"/>
      <w:bookmarkEnd w:id="21"/>
      <w:bookmarkEnd w:id="22"/>
    </w:p>
    <w:p>
      <w:pPr>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1"/>
      <w:bookmarkEnd w:id="2"/>
    </w:p>
    <w:p>
      <w:pPr>
        <w:ind w:firstLine="420"/>
        <w:rPr>
          <w:rFonts w:hint="default" w:ascii="Times New Roman" w:hAnsi="Times New Roman" w:cs="Times New Roman"/>
          <w:color w:val="auto"/>
          <w:highlight w:val="none"/>
        </w:rPr>
      </w:pP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GB/T 18487.1-20</w:t>
      </w:r>
      <w:r>
        <w:rPr>
          <w:rFonts w:hint="eastAsia" w:ascii="Times New Roman" w:cs="Times New Roman"/>
          <w:color w:val="auto"/>
          <w:highlight w:val="none"/>
          <w:lang w:val="en-US" w:eastAsia="zh-CN"/>
        </w:rPr>
        <w:t>23</w:t>
      </w:r>
      <w:r>
        <w:rPr>
          <w:rFonts w:hint="default" w:ascii="Times New Roman" w:hAnsi="Times New Roman" w:cs="Times New Roman"/>
          <w:color w:val="auto"/>
          <w:highlight w:val="none"/>
        </w:rPr>
        <w:t xml:space="preserve"> 电动汽车传导充电系统 第1部分 通用要求 </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GB/T 29317 电动汽车充换电设施术语</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GB/T 34657.1 电动汽车传导充电互操作性测试规范 第1部分：供电设备</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GB/T 34658 电动汽车非车载传导式充电机与电池管理系统之间的通信协议一致性测试</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NB/T 10901 电动汽车充电设备现场检验技术规范</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NB/T 33001 电动汽车非车载传导式充电机技术条件</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NB/T 33002 电动汽车交流</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 xml:space="preserve">技术条件 </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NB/T 33008.1</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电动汽车充电设备检验试验规范第1部分:非车载充电机 </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NB/T 33008.2 电动汽车充电设备检验试验规范第1部分:交流</w:t>
      </w:r>
      <w:r>
        <w:rPr>
          <w:rFonts w:hint="default" w:ascii="Times New Roman" w:hAnsi="Times New Roman" w:cs="Times New Roman"/>
          <w:color w:val="auto"/>
          <w:highlight w:val="none"/>
          <w:lang w:eastAsia="zh-CN"/>
        </w:rPr>
        <w:t>充电设备</w:t>
      </w:r>
    </w:p>
    <w:p>
      <w:pPr>
        <w:pStyle w:val="32"/>
        <w:spacing w:before="157" w:beforeLines="50" w:after="312"/>
        <w:ind w:left="0"/>
        <w:outlineLvl w:val="0"/>
        <w:rPr>
          <w:rFonts w:hint="default" w:ascii="Times New Roman" w:hAnsi="Times New Roman" w:cs="Times New Roman"/>
          <w:color w:val="auto"/>
          <w:highlight w:val="none"/>
        </w:rPr>
      </w:pPr>
      <w:bookmarkStart w:id="23" w:name="_Toc15227"/>
      <w:bookmarkStart w:id="24" w:name="_Toc30472"/>
      <w:r>
        <w:rPr>
          <w:rFonts w:hint="default" w:ascii="Times New Roman" w:hAnsi="Times New Roman" w:cs="Times New Roman"/>
          <w:color w:val="auto"/>
          <w:highlight w:val="none"/>
        </w:rPr>
        <w:t>术语和定义</w:t>
      </w:r>
      <w:bookmarkEnd w:id="23"/>
      <w:bookmarkEnd w:id="24"/>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下列术语和定义适用于</w:t>
      </w:r>
      <w:r>
        <w:rPr>
          <w:rFonts w:hint="default" w:ascii="Times New Roman" w:hAnsi="Times New Roman" w:cs="Times New Roman"/>
          <w:color w:val="auto"/>
          <w:highlight w:val="none"/>
          <w:lang w:eastAsia="zh-CN"/>
        </w:rPr>
        <w:t>本文件</w:t>
      </w:r>
      <w:r>
        <w:rPr>
          <w:rFonts w:hint="default" w:ascii="Times New Roman" w:hAnsi="Times New Roman" w:cs="Times New Roman"/>
          <w:color w:val="auto"/>
          <w:highlight w:val="none"/>
        </w:rPr>
        <w:t>。</w:t>
      </w:r>
    </w:p>
    <w:p>
      <w:pPr>
        <w:pStyle w:val="28"/>
        <w:keepNext w:val="0"/>
        <w:keepLines w:val="0"/>
        <w:pageBreakBefore w:val="0"/>
        <w:widowControl/>
        <w:numPr>
          <w:ilvl w:val="1"/>
          <w:numId w:val="2"/>
        </w:numPr>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Times New Roman" w:hAnsi="Times New Roman" w:eastAsia="黑体" w:cs="Times New Roman"/>
          <w:color w:val="auto"/>
          <w:highlight w:val="none"/>
        </w:rPr>
      </w:pPr>
      <w:bookmarkStart w:id="25" w:name="_Toc135644033"/>
      <w:bookmarkEnd w:id="25"/>
      <w:bookmarkStart w:id="26" w:name="_Toc135521424"/>
      <w:bookmarkEnd w:id="26"/>
      <w:bookmarkStart w:id="27" w:name="_Toc135521184"/>
      <w:bookmarkEnd w:id="27"/>
      <w:r>
        <w:rPr>
          <w:rFonts w:hint="default" w:ascii="Times New Roman" w:hAnsi="Times New Roman" w:eastAsia="黑体" w:cs="Times New Roman"/>
          <w:color w:val="auto"/>
          <w:highlight w:val="none"/>
        </w:rPr>
        <w:t>电动汽车 electric vehicle; EV</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包括纯电动汽车、混合动力（含增程）电动汽车及燃料电池电动汽车。</w:t>
      </w:r>
    </w:p>
    <w:p>
      <w:pPr>
        <w:pStyle w:val="28"/>
        <w:keepNext w:val="0"/>
        <w:keepLines w:val="0"/>
        <w:pageBreakBefore w:val="0"/>
        <w:widowControl/>
        <w:numPr>
          <w:ilvl w:val="1"/>
          <w:numId w:val="2"/>
        </w:numPr>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Times New Roman" w:hAnsi="Times New Roman" w:eastAsia="黑体" w:cs="Times New Roman"/>
          <w:color w:val="auto"/>
          <w:highlight w:val="none"/>
        </w:rPr>
      </w:pPr>
      <w:bookmarkStart w:id="28" w:name="_Toc135417367"/>
      <w:bookmarkEnd w:id="28"/>
      <w:bookmarkStart w:id="29" w:name="_Toc135521185"/>
      <w:bookmarkEnd w:id="29"/>
      <w:bookmarkStart w:id="30" w:name="_Toc135644034"/>
      <w:bookmarkEnd w:id="30"/>
      <w:bookmarkStart w:id="31" w:name="_Toc135417316"/>
      <w:bookmarkEnd w:id="31"/>
      <w:bookmarkStart w:id="32" w:name="_Toc135521425"/>
      <w:bookmarkEnd w:id="32"/>
      <w:r>
        <w:rPr>
          <w:rFonts w:hint="default" w:ascii="Times New Roman" w:hAnsi="Times New Roman" w:eastAsia="黑体" w:cs="Times New Roman"/>
          <w:color w:val="auto"/>
          <w:highlight w:val="none"/>
        </w:rPr>
        <w:t>充电场站 charging  station</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为电动汽车提供充电服务的专用场所。</w:t>
      </w:r>
    </w:p>
    <w:p>
      <w:pPr>
        <w:pStyle w:val="2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Times New Roman" w:hAnsi="Times New Roman" w:eastAsia="宋体" w:cs="Times New Roman"/>
          <w:color w:val="auto"/>
          <w:lang w:eastAsia="zh-CN"/>
        </w:rPr>
      </w:pPr>
      <w:bookmarkStart w:id="33" w:name="_Toc135521186"/>
      <w:bookmarkEnd w:id="33"/>
      <w:bookmarkStart w:id="34" w:name="_Toc135417368"/>
      <w:bookmarkEnd w:id="34"/>
      <w:bookmarkStart w:id="35" w:name="_Toc135521426"/>
      <w:bookmarkEnd w:id="35"/>
      <w:bookmarkStart w:id="36" w:name="_Toc135417317"/>
      <w:bookmarkEnd w:id="36"/>
      <w:bookmarkStart w:id="37" w:name="_Toc135644035"/>
      <w:bookmarkEnd w:id="37"/>
      <w:r>
        <w:rPr>
          <w:rFonts w:hint="default" w:ascii="Times New Roman" w:hAnsi="Times New Roman" w:cs="Times New Roman"/>
          <w:color w:val="auto"/>
        </w:rPr>
        <w:t>注:充电场站由多台集中布置的充电设备以及相关的供电设备、监控设备、配套设施等组成</w:t>
      </w:r>
      <w:r>
        <w:rPr>
          <w:rFonts w:hint="default" w:ascii="Times New Roman" w:hAnsi="Times New Roman" w:cs="Times New Roman"/>
          <w:color w:val="auto"/>
          <w:lang w:eastAsia="zh-CN"/>
        </w:rPr>
        <w:t>。</w:t>
      </w:r>
    </w:p>
    <w:p>
      <w:pPr>
        <w:pStyle w:val="28"/>
        <w:keepNext w:val="0"/>
        <w:keepLines w:val="0"/>
        <w:pageBreakBefore w:val="0"/>
        <w:widowControl/>
        <w:numPr>
          <w:ilvl w:val="1"/>
          <w:numId w:val="2"/>
        </w:numPr>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Times New Roman" w:hAnsi="Times New Roman" w:cs="Times New Roman"/>
          <w:b/>
          <w:bCs/>
          <w:color w:val="auto"/>
          <w:highlight w:val="none"/>
        </w:rPr>
      </w:pPr>
      <w:r>
        <w:rPr>
          <w:rFonts w:hint="default" w:ascii="Times New Roman" w:hAnsi="Times New Roman" w:eastAsia="黑体" w:cs="Times New Roman"/>
          <w:color w:val="auto"/>
          <w:highlight w:val="none"/>
        </w:rPr>
        <w:t>充电设施 charging infrastructure</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采用整车充电方式为电动汽车提供电能的相关设施的总称</w:t>
      </w:r>
      <w:r>
        <w:rPr>
          <w:rFonts w:hint="default" w:ascii="Times New Roman" w:hAnsi="Times New Roman" w:cs="Times New Roman"/>
          <w:color w:val="auto"/>
          <w:highlight w:val="none"/>
          <w:lang w:eastAsia="zh-CN"/>
        </w:rPr>
        <w:t>。</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注:充电设施包括</w:t>
      </w:r>
      <w:r>
        <w:rPr>
          <w:rFonts w:hint="default" w:ascii="Times New Roman" w:hAnsi="Times New Roman" w:cs="Times New Roman"/>
          <w:color w:val="auto"/>
          <w:highlight w:val="none"/>
          <w:lang w:eastAsia="zh-CN"/>
        </w:rPr>
        <w:t>充电</w:t>
      </w:r>
      <w:r>
        <w:rPr>
          <w:rFonts w:hint="default" w:ascii="Times New Roman" w:hAnsi="Times New Roman" w:cs="Times New Roman"/>
          <w:color w:val="auto"/>
          <w:highlight w:val="none"/>
          <w:lang w:val="en-US" w:eastAsia="zh-CN"/>
        </w:rPr>
        <w:t>设备</w:t>
      </w:r>
      <w:r>
        <w:rPr>
          <w:rFonts w:hint="default" w:ascii="Times New Roman" w:hAnsi="Times New Roman" w:cs="Times New Roman"/>
          <w:color w:val="auto"/>
          <w:highlight w:val="none"/>
        </w:rPr>
        <w:t>和分散充电设施。</w:t>
      </w:r>
    </w:p>
    <w:p>
      <w:pPr>
        <w:pStyle w:val="28"/>
        <w:keepNext w:val="0"/>
        <w:keepLines w:val="0"/>
        <w:pageBreakBefore w:val="0"/>
        <w:widowControl/>
        <w:numPr>
          <w:ilvl w:val="1"/>
          <w:numId w:val="2"/>
        </w:numPr>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Times New Roman" w:hAnsi="Times New Roman" w:eastAsia="黑体" w:cs="Times New Roman"/>
          <w:color w:val="auto"/>
          <w:highlight w:val="none"/>
        </w:rPr>
      </w:pPr>
      <w:bookmarkStart w:id="38" w:name="_Toc135521187"/>
      <w:bookmarkEnd w:id="38"/>
      <w:bookmarkStart w:id="39" w:name="_Toc135521427"/>
      <w:bookmarkEnd w:id="39"/>
      <w:bookmarkStart w:id="40" w:name="_Toc135417318"/>
      <w:bookmarkEnd w:id="40"/>
      <w:bookmarkStart w:id="41" w:name="_Toc135644036"/>
      <w:bookmarkEnd w:id="41"/>
      <w:bookmarkStart w:id="42" w:name="_Toc135417369"/>
      <w:bookmarkEnd w:id="42"/>
      <w:r>
        <w:rPr>
          <w:rFonts w:hint="default" w:ascii="Times New Roman" w:hAnsi="Times New Roman" w:eastAsia="黑体" w:cs="Times New Roman"/>
          <w:color w:val="auto"/>
          <w:highlight w:val="none"/>
        </w:rPr>
        <w:t>充电服务运营商 charging service operator</w:t>
      </w:r>
    </w:p>
    <w:p>
      <w:pPr>
        <w:pStyle w:val="28"/>
        <w:rPr>
          <w:rFonts w:hint="default" w:ascii="Times New Roman" w:hAnsi="Times New Roman" w:cs="Times New Roman"/>
          <w:b/>
          <w:bCs/>
          <w:color w:val="auto"/>
          <w:szCs w:val="22"/>
          <w:highlight w:val="none"/>
          <w:lang w:val="en-US" w:eastAsia="zh-CN"/>
        </w:rPr>
      </w:pPr>
      <w:r>
        <w:rPr>
          <w:rFonts w:hint="default" w:ascii="Times New Roman" w:hAnsi="Times New Roman" w:cs="Times New Roman"/>
          <w:bCs/>
          <w:color w:val="auto"/>
          <w:highlight w:val="none"/>
        </w:rPr>
        <w:t>为电动汽车用户提供充电服务的提供者，简称运营商，可包括充电服务平台运营商和充电设施运营商。</w:t>
      </w:r>
    </w:p>
    <w:p>
      <w:pPr>
        <w:pStyle w:val="32"/>
        <w:keepNext w:val="0"/>
        <w:keepLines w:val="0"/>
        <w:pageBreakBefore w:val="0"/>
        <w:widowControl/>
        <w:kinsoku/>
        <w:wordWrap/>
        <w:overflowPunct/>
        <w:topLinePunct w:val="0"/>
        <w:autoSpaceDE/>
        <w:autoSpaceDN/>
        <w:bidi w:val="0"/>
        <w:adjustRightInd/>
        <w:snapToGrid/>
        <w:spacing w:before="157" w:beforeLines="50" w:after="312"/>
        <w:textAlignment w:val="auto"/>
        <w:outlineLvl w:val="0"/>
        <w:rPr>
          <w:rFonts w:hint="default" w:ascii="Times New Roman" w:hAnsi="Times New Roman" w:cs="Times New Roman"/>
          <w:color w:val="auto"/>
          <w:highlight w:val="none"/>
        </w:rPr>
      </w:pPr>
      <w:bookmarkStart w:id="43" w:name="_Toc25062"/>
      <w:bookmarkStart w:id="44" w:name="_Toc28924"/>
      <w:r>
        <w:rPr>
          <w:rFonts w:hint="default" w:ascii="Times New Roman" w:hAnsi="Times New Roman" w:cs="Times New Roman"/>
          <w:color w:val="auto"/>
          <w:highlight w:val="none"/>
        </w:rPr>
        <w:t>充电设施检测项目</w:t>
      </w:r>
      <w:bookmarkEnd w:id="43"/>
      <w:bookmarkEnd w:id="44"/>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一般检验（现场检测）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技术资料核查</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检查充电设备的出厂合格证、出厂检验报告、维修调试记录文件、使用说明书、型式试验报告</w:t>
      </w:r>
      <w:r>
        <w:rPr>
          <w:rFonts w:hint="eastAsia" w:ascii="Times New Roman" w:cs="Times New Roman"/>
          <w:color w:val="auto"/>
          <w:sz w:val="21"/>
          <w:szCs w:val="24"/>
          <w:highlight w:val="none"/>
          <w:lang w:eastAsia="zh-CN"/>
        </w:rPr>
        <w:t>、</w:t>
      </w:r>
      <w:bookmarkStart w:id="45" w:name="OLE_LINK5"/>
      <w:r>
        <w:rPr>
          <w:rFonts w:hint="eastAsia" w:ascii="Times New Roman" w:cs="Times New Roman"/>
          <w:color w:val="auto"/>
          <w:sz w:val="21"/>
          <w:szCs w:val="24"/>
          <w:highlight w:val="none"/>
          <w:lang w:val="en-US" w:eastAsia="zh-CN"/>
        </w:rPr>
        <w:t>国家强制性产品认证试验报告</w:t>
      </w:r>
      <w:bookmarkEnd w:id="45"/>
      <w:r>
        <w:rPr>
          <w:rFonts w:hint="default" w:ascii="Times New Roman" w:hAnsi="Times New Roman" w:cs="Times New Roman"/>
          <w:color w:val="auto"/>
          <w:sz w:val="21"/>
          <w:szCs w:val="24"/>
          <w:highlight w:val="none"/>
        </w:rPr>
        <w:t>等资料。对充电设备的资料和实物进行一致性检查，包含但不限于关键组部件、文件基本信息与铭牌标识符合性等。</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实物一致性检测内容：交流接触器，电表，辅助电源，直流接触器，熔断器，充电连接装置，充电控制器，充电线缆等。</w:t>
      </w:r>
      <w:r>
        <w:rPr>
          <w:rFonts w:hint="default" w:ascii="Times New Roman" w:hAnsi="Times New Roman" w:cs="Times New Roman"/>
          <w:color w:val="auto"/>
          <w:sz w:val="21"/>
          <w:szCs w:val="24"/>
          <w:highlight w:val="none"/>
          <w:lang w:val="en-US" w:eastAsia="zh-CN"/>
        </w:rPr>
        <w:t>实物</w:t>
      </w:r>
      <w:r>
        <w:rPr>
          <w:rFonts w:hint="default" w:ascii="Times New Roman" w:hAnsi="Times New Roman" w:cs="Times New Roman"/>
          <w:color w:val="auto"/>
          <w:sz w:val="21"/>
          <w:szCs w:val="24"/>
          <w:highlight w:val="none"/>
        </w:rPr>
        <w:t>外观以及铭牌所写规格型号等信息需要和型式试验报告一致。</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所有关键组部件，应提供权威第三方出具的型式</w:t>
      </w:r>
      <w:r>
        <w:rPr>
          <w:rFonts w:hint="default" w:ascii="Times New Roman" w:hAnsi="Times New Roman" w:cs="Times New Roman"/>
          <w:color w:val="auto"/>
          <w:sz w:val="21"/>
          <w:szCs w:val="24"/>
          <w:highlight w:val="none"/>
          <w:lang w:val="en-US" w:eastAsia="zh-CN"/>
        </w:rPr>
        <w:t>试验</w:t>
      </w:r>
      <w:r>
        <w:rPr>
          <w:rFonts w:hint="default" w:ascii="Times New Roman" w:hAnsi="Times New Roman" w:cs="Times New Roman"/>
          <w:color w:val="auto"/>
          <w:sz w:val="21"/>
          <w:szCs w:val="24"/>
          <w:highlight w:val="none"/>
        </w:rPr>
        <w:t>报告及型式认证证书或提供三方委托试验报告。</w:t>
      </w:r>
    </w:p>
    <w:p>
      <w:pPr>
        <w:pStyle w:val="28"/>
        <w:rPr>
          <w:rFonts w:hint="default" w:ascii="Times New Roman" w:hAnsi="Times New Roman" w:eastAsia="宋体" w:cs="Times New Roman"/>
          <w:color w:val="auto"/>
          <w:sz w:val="21"/>
          <w:szCs w:val="24"/>
          <w:highlight w:val="none"/>
          <w:lang w:eastAsia="zh-CN"/>
        </w:rPr>
      </w:pPr>
      <w:r>
        <w:rPr>
          <w:rFonts w:hint="default" w:ascii="Times New Roman" w:hAnsi="Times New Roman" w:cs="Times New Roman"/>
          <w:color w:val="auto"/>
          <w:sz w:val="21"/>
          <w:szCs w:val="24"/>
          <w:highlight w:val="none"/>
        </w:rPr>
        <w:t>以上技术资料不符合要求无参评资格</w:t>
      </w:r>
      <w:r>
        <w:rPr>
          <w:rFonts w:hint="default" w:ascii="Times New Roman" w:hAnsi="Times New Roman" w:cs="Times New Roman"/>
          <w:color w:val="auto"/>
          <w:sz w:val="21"/>
          <w:szCs w:val="24"/>
          <w:highlight w:val="none"/>
          <w:lang w:eastAsia="zh-CN"/>
        </w:rPr>
        <w:t>。</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外观检查</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检查充电设备外观，应符合以下要求：</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a）无明显凹凸痕、变形等缺陷；</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b）表面涂镀层应均匀，不应脱落；</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c）门锁、密封条以及外部配件应完好；</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d）应无锈蚀、毛刺、裂纹等缺陷和损伤，零部件应紧固可靠；</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e）充电设备与底座或挂架应可靠固定，无松动。</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内部</w:t>
      </w:r>
      <w:r>
        <w:rPr>
          <w:rFonts w:hint="default" w:ascii="Times New Roman" w:hAnsi="Times New Roman" w:cs="Times New Roman"/>
          <w:color w:val="auto"/>
          <w:sz w:val="21"/>
          <w:szCs w:val="21"/>
          <w:highlight w:val="none"/>
        </w:rPr>
        <w:t>检查</w:t>
      </w:r>
      <w:r>
        <w:rPr>
          <w:rFonts w:hint="default" w:ascii="Times New Roman" w:hAnsi="Times New Roman" w:cs="Times New Roman"/>
          <w:color w:val="auto"/>
          <w:sz w:val="20"/>
          <w:szCs w:val="21"/>
          <w:highlight w:val="none"/>
        </w:rPr>
        <w:tab/>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检查充电设备内部，应符合以下要求：</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a）检查充电设备进出线孔封堵情况，不借助专用工具可拆卸的门盖或外壳的进出线孔应良好封堵，无肉眼可见明显缝隙；</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b）检查线缆安装状况，充电设备内部电源进线、出线应布置整齐、可区分各线缆用途，并可靠固定，无表皮破损；</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c）</w:t>
      </w:r>
      <w:r>
        <w:rPr>
          <w:rFonts w:hint="default" w:ascii="Times New Roman" w:hAnsi="Times New Roman" w:cs="Times New Roman"/>
          <w:color w:val="auto"/>
          <w:sz w:val="21"/>
          <w:szCs w:val="24"/>
          <w:highlight w:val="none"/>
          <w:lang w:val="en-US" w:eastAsia="zh-CN"/>
        </w:rPr>
        <w:t>检查</w:t>
      </w:r>
      <w:r>
        <w:rPr>
          <w:rFonts w:hint="default" w:ascii="Times New Roman" w:hAnsi="Times New Roman" w:cs="Times New Roman"/>
          <w:color w:val="auto"/>
          <w:sz w:val="21"/>
          <w:szCs w:val="24"/>
          <w:highlight w:val="none"/>
        </w:rPr>
        <w:t>充电设备输入输出线缆绝缘无老化、腐蚀和损伤痕迹，端子无烧灼痕迹，无火花放电痕迹；</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d）检查</w:t>
      </w:r>
      <w:r>
        <w:rPr>
          <w:rFonts w:hint="default" w:ascii="Times New Roman" w:hAnsi="Times New Roman" w:cs="Times New Roman"/>
          <w:color w:val="auto"/>
          <w:sz w:val="21"/>
          <w:szCs w:val="24"/>
          <w:highlight w:val="none"/>
          <w:lang w:val="en-US" w:eastAsia="zh-CN"/>
        </w:rPr>
        <w:t>充电</w:t>
      </w:r>
      <w:r>
        <w:rPr>
          <w:rFonts w:hint="default" w:ascii="Times New Roman" w:hAnsi="Times New Roman" w:cs="Times New Roman"/>
          <w:color w:val="auto"/>
          <w:sz w:val="21"/>
          <w:szCs w:val="24"/>
          <w:highlight w:val="none"/>
        </w:rPr>
        <w:t>桩内应无异物。</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充电模式和连接方式检查</w:t>
      </w:r>
      <w:r>
        <w:rPr>
          <w:rFonts w:hint="default" w:ascii="Times New Roman" w:hAnsi="Times New Roman" w:cs="Times New Roman"/>
          <w:color w:val="auto"/>
          <w:sz w:val="20"/>
          <w:szCs w:val="21"/>
          <w:highlight w:val="none"/>
        </w:rPr>
        <w:tab/>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检查充电设备充电模式和连接方式，应符合以下要求：</w:t>
      </w:r>
    </w:p>
    <w:p>
      <w:pPr>
        <w:pStyle w:val="28"/>
        <w:rPr>
          <w:rFonts w:hint="default" w:ascii="Times New Roman" w:hAnsi="Times New Roman" w:eastAsia="宋体" w:cs="Times New Roman"/>
          <w:color w:val="auto"/>
          <w:sz w:val="21"/>
          <w:szCs w:val="24"/>
          <w:highlight w:val="none"/>
          <w:lang w:eastAsia="zh-CN"/>
        </w:rPr>
      </w:pPr>
      <w:r>
        <w:rPr>
          <w:rFonts w:hint="default" w:ascii="Times New Roman" w:hAnsi="Times New Roman" w:cs="Times New Roman"/>
          <w:color w:val="auto"/>
          <w:sz w:val="21"/>
          <w:szCs w:val="24"/>
          <w:highlight w:val="none"/>
        </w:rPr>
        <w:t>a）充电设备的充电模式和连接方式应符合GB/T 18487.1-20</w:t>
      </w:r>
      <w:r>
        <w:rPr>
          <w:rFonts w:hint="eastAsia" w:ascii="Times New Roman" w:cs="Times New Roman"/>
          <w:color w:val="auto"/>
          <w:sz w:val="21"/>
          <w:szCs w:val="24"/>
          <w:highlight w:val="none"/>
          <w:lang w:val="en-US" w:eastAsia="zh-CN"/>
        </w:rPr>
        <w:t>23</w:t>
      </w:r>
      <w:r>
        <w:rPr>
          <w:rFonts w:hint="default" w:ascii="Times New Roman" w:hAnsi="Times New Roman" w:cs="Times New Roman"/>
          <w:color w:val="auto"/>
          <w:sz w:val="21"/>
          <w:szCs w:val="24"/>
          <w:highlight w:val="none"/>
        </w:rPr>
        <w:t>中5.1的规定</w:t>
      </w:r>
      <w:r>
        <w:rPr>
          <w:rFonts w:hint="default" w:ascii="Times New Roman" w:hAnsi="Times New Roman" w:cs="Times New Roman"/>
          <w:color w:val="auto"/>
          <w:sz w:val="21"/>
          <w:szCs w:val="24"/>
          <w:highlight w:val="none"/>
          <w:lang w:eastAsia="zh-CN"/>
        </w:rPr>
        <w:t>；</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b）核查充电设备用连接装置的第三方检测报告，非车载充电机的车辆插头应符合GB/T 20234.1、GB/T 20234.3的规定。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jc w:val="left"/>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电缆管理及</w:t>
      </w:r>
      <w:r>
        <w:rPr>
          <w:rFonts w:hint="default" w:ascii="Times New Roman" w:hAnsi="Times New Roman" w:cs="Times New Roman"/>
          <w:color w:val="auto"/>
          <w:sz w:val="21"/>
          <w:szCs w:val="21"/>
          <w:highlight w:val="none"/>
        </w:rPr>
        <w:t>贮存</w:t>
      </w:r>
      <w:r>
        <w:rPr>
          <w:rFonts w:hint="default" w:ascii="Times New Roman" w:hAnsi="Times New Roman" w:cs="Times New Roman"/>
          <w:color w:val="auto"/>
          <w:sz w:val="20"/>
          <w:szCs w:val="21"/>
          <w:highlight w:val="none"/>
        </w:rPr>
        <w:t>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对于连接</w:t>
      </w:r>
      <w:r>
        <w:rPr>
          <w:rFonts w:hint="default" w:ascii="Times New Roman" w:hAnsi="Times New Roman" w:cs="Times New Roman"/>
          <w:color w:val="auto"/>
          <w:sz w:val="21"/>
          <w:szCs w:val="24"/>
          <w:highlight w:val="none"/>
        </w:rPr>
        <w:t>方式</w:t>
      </w:r>
      <w:r>
        <w:rPr>
          <w:rFonts w:hint="default" w:ascii="Times New Roman" w:hAnsi="Times New Roman" w:cs="Times New Roman"/>
          <w:color w:val="auto"/>
          <w:sz w:val="20"/>
          <w:szCs w:val="24"/>
          <w:highlight w:val="none"/>
        </w:rPr>
        <w:t>C的供电设备，检查充电设备的车辆枪头贮存设备及电缆管理装置，应符合GB/T 18487.1-20</w:t>
      </w:r>
      <w:r>
        <w:rPr>
          <w:rFonts w:hint="eastAsia" w:ascii="Times New Roman" w:cs="Times New Roman"/>
          <w:color w:val="auto"/>
          <w:sz w:val="20"/>
          <w:szCs w:val="24"/>
          <w:highlight w:val="none"/>
          <w:lang w:val="en-US" w:eastAsia="zh-CN"/>
        </w:rPr>
        <w:t>23</w:t>
      </w:r>
      <w:r>
        <w:rPr>
          <w:rFonts w:hint="default" w:ascii="Times New Roman" w:hAnsi="Times New Roman" w:cs="Times New Roman"/>
          <w:color w:val="auto"/>
          <w:sz w:val="20"/>
          <w:szCs w:val="24"/>
          <w:highlight w:val="none"/>
        </w:rPr>
        <w:t>中10.6的要求。</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bookmarkStart w:id="46" w:name="OLE_LINK8"/>
      <w:r>
        <w:rPr>
          <w:rFonts w:hint="default" w:ascii="Times New Roman" w:hAnsi="Times New Roman" w:cs="Times New Roman"/>
          <w:color w:val="auto"/>
          <w:sz w:val="20"/>
          <w:szCs w:val="21"/>
          <w:highlight w:val="none"/>
        </w:rPr>
        <w:t>标志</w:t>
      </w:r>
      <w:r>
        <w:rPr>
          <w:rFonts w:hint="default" w:ascii="Times New Roman" w:hAnsi="Times New Roman" w:cs="Times New Roman"/>
          <w:color w:val="auto"/>
          <w:sz w:val="21"/>
          <w:szCs w:val="21"/>
          <w:highlight w:val="none"/>
        </w:rPr>
        <w:t>检查</w:t>
      </w:r>
      <w:r>
        <w:rPr>
          <w:rFonts w:hint="default" w:ascii="Times New Roman" w:hAnsi="Times New Roman" w:cs="Times New Roman"/>
          <w:color w:val="auto"/>
          <w:sz w:val="20"/>
          <w:szCs w:val="21"/>
          <w:highlight w:val="none"/>
        </w:rPr>
        <w:tab/>
      </w:r>
    </w:p>
    <w:bookmarkEnd w:id="46"/>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目测充电设备铭牌位置和内容的正确性与完整性，非车载充电机的铭牌内容应符合NB/T 33001中8.1.1的规定。</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目测检查充电设备的接线、接地及</w:t>
      </w:r>
      <w:r>
        <w:rPr>
          <w:rFonts w:hint="default" w:ascii="Times New Roman" w:hAnsi="Times New Roman" w:cs="Times New Roman"/>
          <w:color w:val="auto"/>
          <w:sz w:val="21"/>
          <w:szCs w:val="24"/>
          <w:highlight w:val="none"/>
        </w:rPr>
        <w:t>安全</w:t>
      </w:r>
      <w:r>
        <w:rPr>
          <w:rFonts w:hint="default" w:ascii="Times New Roman" w:hAnsi="Times New Roman" w:cs="Times New Roman"/>
          <w:color w:val="auto"/>
          <w:sz w:val="20"/>
          <w:szCs w:val="24"/>
          <w:highlight w:val="none"/>
        </w:rPr>
        <w:t>标志的正确性与完整性。</w:t>
      </w:r>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安全性防护检验（设备检验）</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充电接口安全检查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充电设备未与电动汽车连接时，检查充电接口各动力触头应不带电。</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bookmarkStart w:id="47" w:name="OLE_LINK6"/>
      <w:r>
        <w:rPr>
          <w:rFonts w:hint="default" w:ascii="Times New Roman" w:hAnsi="Times New Roman" w:cs="Times New Roman"/>
          <w:color w:val="auto"/>
          <w:sz w:val="20"/>
          <w:szCs w:val="21"/>
          <w:highlight w:val="none"/>
        </w:rPr>
        <w:t>绝缘电阻测试</w:t>
      </w:r>
      <w:bookmarkEnd w:id="47"/>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在充电设备输出回路与地之间按</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中表2的规定施加直流电压，绝缘电阻应不小于10MΩ。</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接地</w:t>
      </w:r>
      <w:r>
        <w:rPr>
          <w:rFonts w:hint="default" w:ascii="Times New Roman" w:hAnsi="Times New Roman" w:cs="Times New Roman"/>
          <w:color w:val="auto"/>
          <w:sz w:val="21"/>
          <w:szCs w:val="21"/>
          <w:highlight w:val="none"/>
        </w:rPr>
        <w:t>测试</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检查充电设备的接地部件应符合以下规定：</w:t>
      </w:r>
    </w:p>
    <w:p>
      <w:pPr>
        <w:pStyle w:val="28"/>
        <w:ind w:firstLine="400"/>
        <w:rPr>
          <w:rFonts w:hint="default" w:ascii="Times New Roman" w:hAnsi="Times New Roman" w:cs="Times New Roman"/>
          <w:color w:val="auto"/>
          <w:sz w:val="21"/>
          <w:szCs w:val="24"/>
          <w:highlight w:val="none"/>
        </w:rPr>
      </w:pPr>
      <w:r>
        <w:rPr>
          <w:rFonts w:hint="default" w:ascii="Times New Roman" w:hAnsi="Times New Roman" w:cs="Times New Roman"/>
          <w:color w:val="auto"/>
          <w:sz w:val="20"/>
          <w:szCs w:val="24"/>
          <w:highlight w:val="none"/>
        </w:rPr>
        <w:t>a）充电设备金属壳体应设置</w:t>
      </w:r>
      <w:r>
        <w:rPr>
          <w:rFonts w:hint="default" w:ascii="Times New Roman" w:hAnsi="Times New Roman" w:cs="Times New Roman"/>
          <w:color w:val="auto"/>
          <w:sz w:val="21"/>
          <w:szCs w:val="24"/>
          <w:highlight w:val="none"/>
        </w:rPr>
        <w:t>接地螺栓，接地螺栓无锈蚀，用量规或游标卡尺测量其直径不应小于6 mm，且应有接地标志；</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b）检查充电设备的门、盖板、覆板和类似部件，应采用保护导体将这些部件和充电设备主体框架连接；</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c）采用仪器测量充电设备任意应该接地的点至总接地之间的电阻，测试电流不小于10A的电流，测量结果不应大于0.1 Ω，测量点不应少于3个，接地端子应有明显的标志；</w:t>
      </w:r>
    </w:p>
    <w:p>
      <w:pPr>
        <w:pStyle w:val="28"/>
        <w:rPr>
          <w:rFonts w:hint="default" w:ascii="Times New Roman" w:hAnsi="Times New Roman" w:cs="Times New Roman"/>
          <w:color w:val="auto"/>
          <w:sz w:val="20"/>
          <w:szCs w:val="24"/>
          <w:highlight w:val="none"/>
        </w:rPr>
      </w:pPr>
      <w:r>
        <w:rPr>
          <w:rFonts w:hint="default" w:ascii="Times New Roman" w:hAnsi="Times New Roman" w:cs="Times New Roman"/>
          <w:color w:val="auto"/>
          <w:sz w:val="21"/>
          <w:szCs w:val="24"/>
          <w:highlight w:val="none"/>
        </w:rPr>
        <w:t>d）检测充电设备总接地与接地线之</w:t>
      </w:r>
      <w:r>
        <w:rPr>
          <w:rFonts w:hint="default" w:ascii="Times New Roman" w:hAnsi="Times New Roman" w:cs="Times New Roman"/>
          <w:color w:val="auto"/>
          <w:sz w:val="20"/>
          <w:szCs w:val="24"/>
          <w:highlight w:val="none"/>
        </w:rPr>
        <w:t>间电气连接完好，符合相关规定。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bookmarkStart w:id="48" w:name="OLE_LINK7"/>
      <w:r>
        <w:rPr>
          <w:rFonts w:hint="default" w:ascii="Times New Roman" w:hAnsi="Times New Roman" w:cs="Times New Roman"/>
          <w:color w:val="auto"/>
          <w:sz w:val="20"/>
          <w:szCs w:val="21"/>
          <w:highlight w:val="none"/>
        </w:rPr>
        <w:t>防雷</w:t>
      </w:r>
      <w:r>
        <w:rPr>
          <w:rFonts w:hint="default" w:ascii="Times New Roman" w:hAnsi="Times New Roman" w:cs="Times New Roman"/>
          <w:color w:val="auto"/>
          <w:sz w:val="21"/>
          <w:szCs w:val="21"/>
          <w:highlight w:val="none"/>
        </w:rPr>
        <w:t>检查</w:t>
      </w:r>
      <w:bookmarkEnd w:id="48"/>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检查充电设备的避雷防护措施应符合GB/T 18487.1-20</w:t>
      </w:r>
      <w:r>
        <w:rPr>
          <w:rFonts w:hint="eastAsia" w:ascii="Times New Roman" w:cs="Times New Roman"/>
          <w:color w:val="auto"/>
          <w:sz w:val="20"/>
          <w:szCs w:val="24"/>
          <w:highlight w:val="none"/>
          <w:lang w:val="en-US" w:eastAsia="zh-CN"/>
        </w:rPr>
        <w:t>23</w:t>
      </w:r>
      <w:r>
        <w:rPr>
          <w:rFonts w:hint="default" w:ascii="Times New Roman" w:hAnsi="Times New Roman" w:cs="Times New Roman"/>
          <w:color w:val="auto"/>
          <w:sz w:val="20"/>
          <w:szCs w:val="24"/>
          <w:highlight w:val="none"/>
        </w:rPr>
        <w:t>中11.7的规定。</w:t>
      </w:r>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功能检验（设备检测）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显示</w:t>
      </w:r>
      <w:r>
        <w:rPr>
          <w:rFonts w:hint="default" w:ascii="Times New Roman" w:hAnsi="Times New Roman" w:cs="Times New Roman"/>
          <w:color w:val="auto"/>
          <w:sz w:val="21"/>
          <w:szCs w:val="21"/>
          <w:highlight w:val="none"/>
        </w:rPr>
        <w:t>功能</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使充电设备进入待机状态、充电</w:t>
      </w:r>
      <w:r>
        <w:rPr>
          <w:rFonts w:hint="default" w:ascii="Times New Roman" w:hAnsi="Times New Roman" w:cs="Times New Roman"/>
          <w:color w:val="auto"/>
          <w:sz w:val="21"/>
          <w:szCs w:val="24"/>
          <w:highlight w:val="none"/>
        </w:rPr>
        <w:t>状态</w:t>
      </w:r>
      <w:r>
        <w:rPr>
          <w:rFonts w:hint="default" w:ascii="Times New Roman" w:hAnsi="Times New Roman" w:cs="Times New Roman"/>
          <w:color w:val="auto"/>
          <w:sz w:val="21"/>
          <w:szCs w:val="24"/>
          <w:highlight w:val="none"/>
          <w:lang w:eastAsia="zh-CN"/>
        </w:rPr>
        <w:t>、</w:t>
      </w:r>
      <w:r>
        <w:rPr>
          <w:rFonts w:hint="default" w:ascii="Times New Roman" w:hAnsi="Times New Roman" w:cs="Times New Roman"/>
          <w:color w:val="auto"/>
          <w:sz w:val="21"/>
          <w:szCs w:val="24"/>
          <w:highlight w:val="none"/>
          <w:lang w:val="en-US" w:eastAsia="zh-CN"/>
        </w:rPr>
        <w:t>故障状态</w:t>
      </w:r>
      <w:r>
        <w:rPr>
          <w:rFonts w:hint="default" w:ascii="Times New Roman" w:hAnsi="Times New Roman" w:cs="Times New Roman"/>
          <w:color w:val="auto"/>
          <w:sz w:val="20"/>
          <w:szCs w:val="24"/>
          <w:highlight w:val="none"/>
          <w:lang w:val="en-US" w:eastAsia="zh-CN"/>
        </w:rPr>
        <w:t>或</w:t>
      </w:r>
      <w:r>
        <w:rPr>
          <w:rFonts w:hint="default" w:ascii="Times New Roman" w:hAnsi="Times New Roman" w:cs="Times New Roman"/>
          <w:color w:val="auto"/>
          <w:sz w:val="20"/>
          <w:szCs w:val="24"/>
          <w:highlight w:val="none"/>
        </w:rPr>
        <w:t>告警状态，检查充电设备显示信息或状态，非车载充电机应符合NB/T 33001中6.7.1的规定，显示字符应清晰、完整，没有缺损。</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1"/>
          <w:szCs w:val="21"/>
          <w:highlight w:val="none"/>
        </w:rPr>
        <w:t>输入</w:t>
      </w:r>
      <w:r>
        <w:rPr>
          <w:rFonts w:hint="default" w:ascii="Times New Roman" w:hAnsi="Times New Roman" w:cs="Times New Roman"/>
          <w:color w:val="auto"/>
          <w:sz w:val="20"/>
          <w:szCs w:val="21"/>
          <w:highlight w:val="none"/>
        </w:rPr>
        <w:t>功能</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对于具备输入功能的充电设备，按充电设备操作说明设置参数，检查充电设备应正确响应。</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w:t>
      </w:r>
      <w:r>
        <w:rPr>
          <w:rFonts w:hint="default" w:ascii="Times New Roman" w:hAnsi="Times New Roman" w:cs="Times New Roman"/>
          <w:color w:val="auto"/>
          <w:sz w:val="21"/>
          <w:szCs w:val="21"/>
          <w:highlight w:val="none"/>
        </w:rPr>
        <w:t>功能</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充电设备连接试验系统或实际车辆，按充电设备操作说明操作，应实现正常充电。充电过程中应无异响、无异味、无异常发热。</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与上级监控系统通信功能</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对于具备与上级监控系统通信功能的充电设备，检查充电设备与上级监控系统通信功能正常、上传数据准确、完整。</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bookmarkStart w:id="49" w:name="OLE_LINK11"/>
      <w:r>
        <w:rPr>
          <w:rFonts w:hint="eastAsia" w:ascii="Times New Roman" w:hAnsi="Times New Roman" w:cs="Times New Roman"/>
          <w:color w:val="auto"/>
          <w:sz w:val="20"/>
          <w:szCs w:val="21"/>
          <w:highlight w:val="none"/>
          <w:lang w:val="en-US" w:eastAsia="zh-CN"/>
        </w:rPr>
        <w:t>噪声检测</w:t>
      </w:r>
    </w:p>
    <w:bookmarkEnd w:id="49"/>
    <w:p>
      <w:pPr>
        <w:keepLines w:val="0"/>
        <w:pageBreakBefore w:val="0"/>
        <w:widowControl/>
        <w:kinsoku/>
        <w:wordWrap/>
        <w:overflowPunct/>
        <w:topLinePunct w:val="0"/>
        <w:bidi w:val="0"/>
        <w:adjustRightInd/>
        <w:snapToGrid/>
        <w:ind w:firstLine="420" w:firstLineChars="200"/>
        <w:rPr>
          <w:rFonts w:hint="default" w:ascii="Times New Roman" w:hAnsi="Times New Roman" w:eastAsia="宋体" w:cs="Times New Roman"/>
          <w:color w:val="auto"/>
          <w:szCs w:val="32"/>
          <w:highlight w:val="none"/>
          <w:lang w:val="en-US" w:eastAsia="zh-CN"/>
        </w:rPr>
      </w:pPr>
      <w:bookmarkStart w:id="50" w:name="OLE_LINK140"/>
      <w:r>
        <w:rPr>
          <w:rFonts w:hint="default" w:ascii="Times New Roman" w:hAnsi="Times New Roman" w:eastAsia="宋体" w:cs="Times New Roman"/>
          <w:color w:val="auto"/>
          <w:szCs w:val="32"/>
          <w:highlight w:val="none"/>
          <w:lang w:val="en-US" w:eastAsia="zh-CN"/>
        </w:rPr>
        <w:t>居民区附近应控制设备噪声。</w:t>
      </w:r>
      <w:r>
        <w:rPr>
          <w:rFonts w:hint="default" w:ascii="Times New Roman" w:hAnsi="Times New Roman" w:eastAsia="宋体" w:cs="Times New Roman"/>
          <w:color w:val="auto"/>
          <w:szCs w:val="32"/>
          <w:highlight w:val="none"/>
        </w:rPr>
        <w:t>充电机在额定最大功率且达到热稳定后，距离充电机水平位置1m处，离地面高度1～1.5m处测量噪声，测得噪声最大值</w:t>
      </w:r>
      <w:r>
        <w:rPr>
          <w:rFonts w:hint="default" w:ascii="Times New Roman" w:hAnsi="Times New Roman" w:eastAsia="宋体" w:cs="Times New Roman"/>
          <w:color w:val="auto"/>
          <w:szCs w:val="32"/>
          <w:highlight w:val="none"/>
          <w:lang w:eastAsia="zh-CN"/>
        </w:rPr>
        <w:t>，</w:t>
      </w:r>
      <w:r>
        <w:rPr>
          <w:rFonts w:hint="default" w:ascii="Times New Roman" w:hAnsi="Times New Roman" w:eastAsia="宋体" w:cs="Times New Roman"/>
          <w:color w:val="auto"/>
          <w:szCs w:val="32"/>
          <w:highlight w:val="none"/>
          <w:lang w:val="en-US" w:eastAsia="zh-CN"/>
        </w:rPr>
        <w:t>需具有型式试验报告</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Cs w:val="21"/>
          <w:highlight w:val="none"/>
          <w:lang w:val="en-US" w:eastAsia="zh-CN"/>
        </w:rPr>
        <w:t>噪声最大值/</w:t>
      </w:r>
      <w:r>
        <w:rPr>
          <w:rFonts w:hint="default" w:ascii="Times New Roman" w:hAnsi="Times New Roman" w:eastAsia="宋体" w:cs="Times New Roman"/>
          <w:b w:val="0"/>
          <w:bCs w:val="0"/>
          <w:color w:val="auto"/>
          <w:sz w:val="21"/>
          <w:szCs w:val="21"/>
          <w:lang w:val="en-US" w:eastAsia="zh-CN"/>
        </w:rPr>
        <w:t>db（A）分级要求</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32"/>
          <w:highlight w:val="none"/>
          <w:lang w:val="en-US" w:eastAsia="zh-CN"/>
        </w:rPr>
        <w:br w:type="textWrapping"/>
      </w:r>
      <w:bookmarkStart w:id="51" w:name="OLE_LINK71"/>
      <w:r>
        <w:rPr>
          <w:rFonts w:hint="default" w:ascii="Times New Roman" w:hAnsi="Times New Roman" w:eastAsia="宋体" w:cs="Times New Roman"/>
          <w:b w:val="0"/>
          <w:bCs w:val="0"/>
          <w:color w:val="auto"/>
          <w:sz w:val="21"/>
          <w:szCs w:val="21"/>
        </w:rPr>
        <w:t>Ⅰ</w:t>
      </w:r>
      <w:r>
        <w:rPr>
          <w:rFonts w:hint="default" w:ascii="Times New Roman" w:hAnsi="Times New Roman" w:eastAsia="宋体" w:cs="Times New Roman"/>
          <w:color w:val="auto"/>
          <w:szCs w:val="21"/>
          <w:highlight w:val="none"/>
          <w:lang w:val="en-US" w:eastAsia="zh-CN"/>
        </w:rPr>
        <w:t>级：</w:t>
      </w:r>
      <w:r>
        <w:rPr>
          <w:rFonts w:hint="default" w:ascii="Times New Roman" w:hAnsi="Times New Roman" w:eastAsia="宋体" w:cs="Times New Roman"/>
          <w:b w:val="0"/>
          <w:bCs w:val="0"/>
          <w:color w:val="auto"/>
          <w:sz w:val="21"/>
          <w:szCs w:val="21"/>
        </w:rPr>
        <w:t>噪声≤55</w:t>
      </w:r>
      <w:bookmarkEnd w:id="51"/>
    </w:p>
    <w:p>
      <w:pPr>
        <w:pStyle w:val="28"/>
        <w:ind w:left="0" w:leftChars="0" w:firstLine="0" w:firstLineChars="0"/>
        <w:rPr>
          <w:rFonts w:hint="default" w:ascii="Times New Roman" w:hAnsi="Times New Roman" w:cs="Times New Roman"/>
          <w:color w:val="auto"/>
          <w:sz w:val="20"/>
          <w:szCs w:val="24"/>
          <w:highlight w:val="none"/>
        </w:rPr>
      </w:pPr>
      <w:r>
        <w:rPr>
          <w:rFonts w:hint="default" w:ascii="Times New Roman" w:hAnsi="Times New Roman" w:eastAsia="宋体" w:cs="Times New Roman"/>
          <w:b w:val="0"/>
          <w:bCs w:val="0"/>
          <w:color w:val="auto"/>
          <w:sz w:val="21"/>
          <w:szCs w:val="21"/>
        </w:rPr>
        <w:t>Ⅱ</w:t>
      </w:r>
      <w:bookmarkStart w:id="52" w:name="OLE_LINK73"/>
      <w:r>
        <w:rPr>
          <w:rFonts w:hint="default" w:ascii="Times New Roman" w:hAnsi="Times New Roman" w:eastAsia="宋体" w:cs="Times New Roman"/>
          <w:color w:val="auto"/>
          <w:szCs w:val="21"/>
          <w:highlight w:val="none"/>
          <w:lang w:val="en-US" w:eastAsia="zh-CN"/>
        </w:rPr>
        <w:t>级：55＜</w:t>
      </w:r>
      <w:r>
        <w:rPr>
          <w:rFonts w:hint="default" w:ascii="Times New Roman" w:hAnsi="Times New Roman" w:eastAsia="宋体" w:cs="Times New Roman"/>
          <w:b w:val="0"/>
          <w:bCs w:val="0"/>
          <w:color w:val="auto"/>
          <w:sz w:val="21"/>
          <w:szCs w:val="21"/>
        </w:rPr>
        <w:t>噪声≤</w:t>
      </w:r>
      <w:r>
        <w:rPr>
          <w:rFonts w:hint="default"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rPr>
        <w:t>5</w:t>
      </w:r>
      <w:bookmarkEnd w:id="52"/>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Ⅲ</w:t>
      </w:r>
      <w:r>
        <w:rPr>
          <w:rFonts w:hint="default" w:ascii="Times New Roman" w:hAnsi="Times New Roman" w:eastAsia="宋体" w:cs="Times New Roman"/>
          <w:color w:val="auto"/>
          <w:szCs w:val="21"/>
          <w:highlight w:val="none"/>
          <w:lang w:val="en-US" w:eastAsia="zh-CN"/>
        </w:rPr>
        <w:t>级：65＜</w:t>
      </w:r>
      <w:r>
        <w:rPr>
          <w:rFonts w:hint="default" w:ascii="Times New Roman" w:hAnsi="Times New Roman" w:eastAsia="宋体" w:cs="Times New Roman"/>
          <w:b w:val="0"/>
          <w:bCs w:val="0"/>
          <w:color w:val="auto"/>
          <w:sz w:val="21"/>
          <w:szCs w:val="21"/>
        </w:rPr>
        <w:t>噪声≤</w:t>
      </w:r>
      <w:r>
        <w:rPr>
          <w:rFonts w:hint="default" w:ascii="Times New Roman" w:hAnsi="Times New Roman" w:eastAsia="宋体" w:cs="Times New Roman"/>
          <w:b w:val="0"/>
          <w:bCs w:val="0"/>
          <w:color w:val="auto"/>
          <w:sz w:val="21"/>
          <w:szCs w:val="21"/>
          <w:lang w:val="en-US" w:eastAsia="zh-CN"/>
        </w:rPr>
        <w:t>80</w:t>
      </w:r>
      <w:r>
        <w:rPr>
          <w:rFonts w:hint="default" w:ascii="Times New Roman" w:hAnsi="Times New Roman" w:eastAsia="宋体" w:cs="Times New Roman"/>
          <w:b w:val="0"/>
          <w:bCs w:val="0"/>
          <w:color w:val="auto"/>
          <w:sz w:val="21"/>
          <w:szCs w:val="21"/>
        </w:rPr>
        <w:br w:type="textWrapping"/>
      </w:r>
      <w:bookmarkStart w:id="53" w:name="OLE_LINK74"/>
      <w:r>
        <w:rPr>
          <w:rFonts w:hint="default" w:ascii="Times New Roman" w:hAnsi="Times New Roman" w:eastAsia="宋体" w:cs="Times New Roman"/>
          <w:b w:val="0"/>
          <w:bCs w:val="0"/>
          <w:color w:val="auto"/>
          <w:sz w:val="21"/>
          <w:szCs w:val="21"/>
        </w:rPr>
        <w:t>Ⅳ</w:t>
      </w:r>
      <w:bookmarkEnd w:id="53"/>
      <w:r>
        <w:rPr>
          <w:rFonts w:hint="default" w:ascii="Times New Roman" w:hAnsi="Times New Roman" w:eastAsia="宋体" w:cs="Times New Roman"/>
          <w:color w:val="auto"/>
          <w:szCs w:val="21"/>
          <w:highlight w:val="none"/>
          <w:lang w:val="en-US" w:eastAsia="zh-CN"/>
        </w:rPr>
        <w:t>级：</w:t>
      </w:r>
      <w:r>
        <w:rPr>
          <w:rFonts w:hint="default" w:ascii="Times New Roman" w:hAnsi="Times New Roman" w:eastAsia="宋体" w:cs="Times New Roman"/>
          <w:b w:val="0"/>
          <w:bCs w:val="0"/>
          <w:color w:val="auto"/>
          <w:sz w:val="21"/>
          <w:szCs w:val="21"/>
        </w:rPr>
        <w:t>噪声</w:t>
      </w:r>
      <w:r>
        <w:rPr>
          <w:rFonts w:hint="default" w:ascii="Times New Roman" w:hAnsi="Times New Roman" w:eastAsia="宋体" w:cs="Times New Roman"/>
          <w:b w:val="0"/>
          <w:bCs w:val="0"/>
          <w:color w:val="auto"/>
          <w:sz w:val="21"/>
          <w:szCs w:val="21"/>
          <w:lang w:val="en-US" w:eastAsia="zh-CN"/>
        </w:rPr>
        <w:t>＞80</w:t>
      </w:r>
      <w:bookmarkEnd w:id="50"/>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安全要求检验（设备检测）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急停功能</w:t>
      </w:r>
      <w:r>
        <w:rPr>
          <w:rFonts w:hint="default" w:ascii="Times New Roman" w:hAnsi="Times New Roman" w:cs="Times New Roman"/>
          <w:color w:val="auto"/>
          <w:sz w:val="21"/>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对一体式非车载充电机，启动急停装置时，应同时切断充电机的动力电源输入和直流输出。对分体式非车载充电机，启动急停装置时，应切断相应充电终端的直流输出，依据NB/T 33001。</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锁止功能</w:t>
      </w:r>
      <w:r>
        <w:rPr>
          <w:rFonts w:hint="default" w:ascii="Times New Roman" w:hAnsi="Times New Roman" w:cs="Times New Roman"/>
          <w:color w:val="auto"/>
          <w:sz w:val="21"/>
          <w:szCs w:val="21"/>
          <w:highlight w:val="none"/>
        </w:rPr>
        <w:t>试验</w:t>
      </w:r>
    </w:p>
    <w:p>
      <w:pPr>
        <w:pStyle w:val="28"/>
        <w:ind w:firstLine="400"/>
        <w:rPr>
          <w:rFonts w:hint="default" w:ascii="Times New Roman" w:hAnsi="Times New Roman" w:eastAsia="宋体" w:cs="Times New Roman"/>
          <w:color w:val="auto"/>
          <w:sz w:val="20"/>
          <w:szCs w:val="24"/>
          <w:highlight w:val="none"/>
          <w:lang w:eastAsia="zh-CN"/>
        </w:rPr>
      </w:pPr>
      <w:r>
        <w:rPr>
          <w:rFonts w:hint="default" w:ascii="Times New Roman" w:hAnsi="Times New Roman" w:cs="Times New Roman"/>
          <w:color w:val="auto"/>
          <w:sz w:val="20"/>
          <w:szCs w:val="24"/>
          <w:highlight w:val="none"/>
        </w:rPr>
        <w:tab/>
      </w:r>
      <w:r>
        <w:rPr>
          <w:rFonts w:hint="default" w:ascii="Times New Roman" w:hAnsi="Times New Roman" w:cs="Times New Roman"/>
          <w:color w:val="auto"/>
          <w:sz w:val="20"/>
          <w:szCs w:val="24"/>
          <w:highlight w:val="none"/>
        </w:rPr>
        <w:t>a）将充电机连接试验系统，并施加不超过GB/T 20234.1-2015中6.3.2规定的拔出外力，确认机械锁止装置的有效性</w:t>
      </w:r>
      <w:r>
        <w:rPr>
          <w:rFonts w:hint="default" w:ascii="Times New Roman" w:hAnsi="Times New Roman" w:cs="Times New Roman"/>
          <w:color w:val="auto"/>
          <w:sz w:val="20"/>
          <w:szCs w:val="24"/>
          <w:highlight w:val="none"/>
          <w:lang w:eastAsia="zh-CN"/>
        </w:rPr>
        <w:t>；</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b）启动充电机，通过检查机械锁止装置是否能被打开，确认电子锁止装置对机械锁止装置的连锁效果，在整个充电过程中（包括绝缘自检），检查充电机电子锁应可靠锁止，不允许带电解锁且不应由人手直接操作解锁。</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1"/>
          <w:szCs w:val="21"/>
          <w:highlight w:val="none"/>
        </w:rPr>
        <w:t>开门保护试验</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检查充电设备应有门禁开关等开门保护装置。充电设备门打开等活动造成带电部位露出时，应切断输出供电，但控制导引电路可保持通电。</w:t>
      </w:r>
    </w:p>
    <w:p>
      <w:pPr>
        <w:pStyle w:val="30"/>
        <w:spacing w:before="156" w:after="156"/>
        <w:outlineLvl w:val="1"/>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非车载充电机输出性能</w:t>
      </w:r>
      <w:r>
        <w:rPr>
          <w:rFonts w:hint="default" w:ascii="Times New Roman" w:hAnsi="Times New Roman" w:cs="Times New Roman"/>
          <w:color w:val="auto"/>
          <w:sz w:val="21"/>
          <w:szCs w:val="21"/>
          <w:highlight w:val="none"/>
        </w:rPr>
        <w:t>检验</w:t>
      </w:r>
      <w:r>
        <w:rPr>
          <w:rFonts w:hint="default" w:ascii="Times New Roman" w:hAnsi="Times New Roman" w:cs="Times New Roman"/>
          <w:color w:val="auto"/>
          <w:sz w:val="20"/>
          <w:szCs w:val="21"/>
          <w:highlight w:val="none"/>
        </w:rPr>
        <w:t>（设备检测）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低压辅助电源</w:t>
      </w:r>
      <w:r>
        <w:rPr>
          <w:rFonts w:hint="default" w:ascii="Times New Roman" w:hAnsi="Times New Roman" w:cs="Times New Roman"/>
          <w:color w:val="auto"/>
          <w:sz w:val="21"/>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对于公用充电设备，具有辅助电源的充电机，启动充电，检查充电机的辅助电源输出，电压应为（12 ±</w:t>
      </w:r>
      <w:r>
        <w:rPr>
          <w:rFonts w:hint="eastAsia" w:ascii="Times New Roman" w:cs="Times New Roman"/>
          <w:color w:val="auto"/>
          <w:sz w:val="20"/>
          <w:szCs w:val="24"/>
          <w:highlight w:val="none"/>
          <w:lang w:val="en-US" w:eastAsia="zh-CN"/>
        </w:rPr>
        <w:t>1.2</w:t>
      </w:r>
      <w:r>
        <w:rPr>
          <w:rFonts w:hint="default" w:ascii="Times New Roman" w:hAnsi="Times New Roman" w:cs="Times New Roman"/>
          <w:color w:val="auto"/>
          <w:sz w:val="20"/>
          <w:szCs w:val="24"/>
          <w:highlight w:val="none"/>
        </w:rPr>
        <w:t>）V。</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输出电压误差</w:t>
      </w:r>
      <w:r>
        <w:rPr>
          <w:rFonts w:hint="default" w:ascii="Times New Roman" w:hAnsi="Times New Roman" w:cs="Times New Roman"/>
          <w:color w:val="auto"/>
          <w:sz w:val="21"/>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充电机连接负载，并设置在恒压状态下运行，参照表</w:t>
      </w:r>
      <w:r>
        <w:rPr>
          <w:rFonts w:hint="default" w:ascii="Times New Roman" w:hAnsi="Times New Roman" w:cs="Times New Roman"/>
          <w:color w:val="auto"/>
          <w:sz w:val="20"/>
          <w:szCs w:val="24"/>
          <w:highlight w:val="none"/>
          <w:lang w:val="en-US" w:eastAsia="zh-CN"/>
        </w:rPr>
        <w:t>1</w:t>
      </w:r>
      <w:r>
        <w:rPr>
          <w:rFonts w:hint="default" w:ascii="Times New Roman" w:hAnsi="Times New Roman" w:cs="Times New Roman"/>
          <w:color w:val="auto"/>
          <w:sz w:val="20"/>
          <w:szCs w:val="24"/>
          <w:highlight w:val="none"/>
        </w:rPr>
        <w:t>设定输出电压整定值，调整负载电流在规定范围内，测量充电机的输出电压</w:t>
      </w:r>
      <w:r>
        <w:rPr>
          <w:rFonts w:hint="default" w:ascii="Times New Roman" w:hAnsi="Times New Roman" w:cs="Times New Roman"/>
          <w:color w:val="auto"/>
          <w:sz w:val="20"/>
          <w:szCs w:val="24"/>
          <w:highlight w:val="none"/>
          <w:lang w:val="en-US" w:eastAsia="zh-CN"/>
        </w:rPr>
        <w:t>UZ</w:t>
      </w:r>
      <w:r>
        <w:rPr>
          <w:rFonts w:hint="default" w:ascii="Times New Roman" w:hAnsi="Times New Roman" w:cs="Times New Roman"/>
          <w:color w:val="auto"/>
          <w:sz w:val="20"/>
          <w:szCs w:val="24"/>
          <w:highlight w:val="none"/>
        </w:rPr>
        <w:t>，输出电压误差应满足NB/T 33001中7.7.9的规定。</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color w:val="auto"/>
          <w:sz w:val="20"/>
          <w:szCs w:val="24"/>
          <w:highlight w:val="none"/>
          <w:lang w:val="en-US" w:eastAsia="zh-CN"/>
        </w:rPr>
      </w:pPr>
      <w:r>
        <w:rPr>
          <w:rFonts w:hint="default" w:ascii="Times New Roman" w:hAnsi="Times New Roman" w:cs="Times New Roman"/>
          <w:color w:val="auto"/>
          <w:sz w:val="21"/>
          <w:szCs w:val="21"/>
          <w:highlight w:val="none"/>
          <w:lang w:val="en-US" w:eastAsia="zh-CN"/>
        </w:rPr>
        <w:t>表</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vertAlign w:val="baseline"/>
          <w:lang w:val="en-US" w:eastAsia="zh-CN"/>
        </w:rPr>
        <w:t>非车载充电机输出试验点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100"/>
        <w:gridCol w:w="2340"/>
        <w:gridCol w:w="226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试验项目</w:t>
            </w:r>
          </w:p>
        </w:tc>
        <w:tc>
          <w:tcPr>
            <w:tcW w:w="1100"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输入电压</w:t>
            </w:r>
          </w:p>
        </w:tc>
        <w:tc>
          <w:tcPr>
            <w:tcW w:w="2340"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输出电压</w:t>
            </w:r>
            <w:r>
              <w:rPr>
                <w:rFonts w:hint="default" w:ascii="Times New Roman" w:hAnsi="Times New Roman" w:cs="Times New Roman"/>
                <w:i/>
                <w:iCs/>
                <w:color w:val="auto"/>
                <w:sz w:val="20"/>
                <w:szCs w:val="20"/>
                <w:highlight w:val="none"/>
                <w:vertAlign w:val="baseline"/>
              </w:rPr>
              <w:t>U</w:t>
            </w:r>
          </w:p>
        </w:tc>
        <w:tc>
          <w:tcPr>
            <w:tcW w:w="2260" w:type="dxa"/>
          </w:tcPr>
          <w:p>
            <w:pPr>
              <w:rPr>
                <w:rFonts w:hint="default" w:ascii="Times New Roman" w:hAnsi="Times New Roman" w:cs="Times New Roman" w:eastAsiaTheme="minorEastAsia"/>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rPr>
              <w:t>输出电流</w:t>
            </w:r>
            <w:r>
              <w:rPr>
                <w:rFonts w:hint="default" w:ascii="Times New Roman" w:hAnsi="Times New Roman" w:cs="Times New Roman"/>
                <w:color w:val="auto"/>
                <w:sz w:val="20"/>
                <w:szCs w:val="20"/>
                <w:highlight w:val="none"/>
                <w:vertAlign w:val="baseline"/>
                <w:lang w:val="en-US" w:eastAsia="zh-CN"/>
              </w:rPr>
              <w:t>I</w:t>
            </w:r>
          </w:p>
        </w:tc>
        <w:tc>
          <w:tcPr>
            <w:tcW w:w="139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试验点数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rPr>
              <w:t>输出电压误差</w:t>
            </w:r>
          </w:p>
        </w:tc>
        <w:tc>
          <w:tcPr>
            <w:tcW w:w="1100" w:type="dxa"/>
            <w:vAlign w:val="center"/>
          </w:tcPr>
          <w:p>
            <w:pPr>
              <w:jc w:val="center"/>
              <w:rPr>
                <w:rFonts w:hint="default" w:ascii="Times New Roman" w:hAnsi="Times New Roman" w:cs="Times New Roman" w:eastAsiaTheme="minorEastAsia"/>
                <w:color w:val="auto"/>
                <w:sz w:val="20"/>
                <w:szCs w:val="20"/>
                <w:highlight w:val="none"/>
                <w:vertAlign w:val="baseline"/>
                <w:lang w:val="en-US" w:eastAsia="zh-CN"/>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340" w:type="dxa"/>
            <w:vAlign w:val="center"/>
          </w:tcPr>
          <w:p>
            <w:pPr>
              <w:jc w:val="center"/>
              <w:rPr>
                <w:rFonts w:hint="default" w:ascii="Times New Roman" w:hAnsi="Times New Roman" w:cs="Times New Roman"/>
                <w:color w:val="auto"/>
                <w:sz w:val="20"/>
                <w:szCs w:val="20"/>
                <w:highlight w:val="none"/>
                <w:vertAlign w:val="baseline"/>
                <w:lang w:val="en-US"/>
              </w:rPr>
            </w:pP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men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w:p>
        </w:tc>
        <w:tc>
          <w:tcPr>
            <w:tcW w:w="2260" w:type="dxa"/>
            <w:vAlign w:val="center"/>
          </w:tcPr>
          <w:p>
            <w:pPr>
              <w:jc w:val="center"/>
              <w:rPr>
                <w:rFonts w:hint="default" w:ascii="Times New Roman" w:hAnsi="Times New Roman" w:cs="Times New Roman" w:eastAsiaTheme="minorEastAsia"/>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20%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r>
                <m:rPr/>
                <w:rPr>
                  <w:rFonts w:hint="default" w:ascii="Cambria Math" w:hAnsi="Cambria Math" w:cs="Times New Roman"/>
                  <w:color w:val="auto"/>
                  <w:sz w:val="20"/>
                  <w:szCs w:val="20"/>
                  <w:highlight w:val="none"/>
                  <w:vertAlign w:val="baseline"/>
                  <w:lang w:val="en-US" w:eastAsia="zh-CN"/>
                </w:rPr>
                <m:t>≤I≤</m:t>
              </m:r>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p>
        </w:tc>
        <w:tc>
          <w:tcPr>
            <w:tcW w:w="1396" w:type="dxa"/>
            <w:vAlign w:val="center"/>
          </w:tcPr>
          <w:p>
            <w:pPr>
              <w:jc w:val="center"/>
              <w:rPr>
                <w:rFonts w:hint="default" w:ascii="Times New Roman" w:hAnsi="Times New Roman" w:cs="Times New Roman" w:eastAsiaTheme="minorEastAsia"/>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输出电流误差</w:t>
            </w:r>
          </w:p>
        </w:tc>
        <w:tc>
          <w:tcPr>
            <w:tcW w:w="110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34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r>
                  <m:rPr/>
                  <w:rPr>
                    <w:rFonts w:hint="default" w:ascii="Cambria Math" w:hAnsi="Cambria Math" w:cs="Times New Roman"/>
                    <w:color w:val="auto"/>
                    <w:sz w:val="20"/>
                    <w:szCs w:val="20"/>
                    <w:highlight w:val="none"/>
                    <w:vertAlign w:val="baseline"/>
                    <w:lang w:val="en-US"/>
                  </w:rPr>
                  <m:t>≤</m:t>
                </m:r>
                <m:r>
                  <m:rPr/>
                  <w:rPr>
                    <w:rFonts w:hint="default" w:ascii="Cambria Math" w:hAnsi="Cambria Math" w:cs="Times New Roman"/>
                    <w:color w:val="auto"/>
                    <w:sz w:val="20"/>
                    <w:szCs w:val="20"/>
                    <w:highlight w:val="none"/>
                    <w:vertAlign w:val="baseline"/>
                    <w:lang w:val="en-US" w:eastAsia="zh-CN"/>
                  </w:rPr>
                  <m:t>U</m:t>
                </m:r>
                <m:r>
                  <m:rPr/>
                  <w:rPr>
                    <w:rFonts w:hint="default" w:ascii="Cambria Math" w:hAnsi="Cambria Math" w:cs="Times New Roman"/>
                    <w:color w:val="auto"/>
                    <w:sz w:val="20"/>
                    <w:szCs w:val="20"/>
                    <w:highlight w:val="none"/>
                    <w:vertAlign w:val="baseline"/>
                    <w:lang w:val="en-US"/>
                  </w:rPr>
                  <m:t>≤</m:t>
                </m:r>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260" w:type="dxa"/>
            <w:vAlign w:val="center"/>
          </w:tcPr>
          <w:p>
            <w:pPr>
              <w:jc w:val="center"/>
              <w:rPr>
                <w:rFonts w:hint="default" w:ascii="Times New Roman" w:hAnsi="Times New Roman" w:cs="Times New Roman" w:eastAsiaTheme="minorEastAsia"/>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20%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、50%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w:p>
        </w:tc>
        <w:tc>
          <w:tcPr>
            <w:tcW w:w="1396"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输出电压测量误差</w:t>
            </w:r>
          </w:p>
        </w:tc>
        <w:tc>
          <w:tcPr>
            <w:tcW w:w="110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340" w:type="dxa"/>
            <w:vAlign w:val="center"/>
          </w:tcPr>
          <w:p>
            <w:pPr>
              <w:jc w:val="center"/>
              <w:rPr>
                <w:rFonts w:hint="default" w:ascii="Times New Roman" w:hAnsi="Times New Roman" w:cs="Times New Roman"/>
                <w:color w:val="auto"/>
                <w:sz w:val="20"/>
                <w:szCs w:val="20"/>
                <w:highlight w:val="none"/>
                <w:vertAlign w:val="baseline"/>
              </w:rPr>
            </w:pP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men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w:p>
        </w:tc>
        <w:tc>
          <w:tcPr>
            <w:tcW w:w="2260"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r>
                <m:rPr/>
                <w:rPr>
                  <w:rFonts w:hint="default" w:ascii="Cambria Math" w:hAnsi="Cambria Math" w:cs="Times New Roman"/>
                  <w:color w:val="auto"/>
                  <w:sz w:val="20"/>
                  <w:szCs w:val="20"/>
                  <w:highlight w:val="none"/>
                  <w:vertAlign w:val="baseline"/>
                  <w:lang w:val="en-US" w:eastAsia="zh-CN"/>
                </w:rPr>
                <m:t>≤I≤</m:t>
              </m:r>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p>
        </w:tc>
        <w:tc>
          <w:tcPr>
            <w:tcW w:w="1396"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rPr>
              <w:t>输出电流测量误差</w:t>
            </w:r>
          </w:p>
        </w:tc>
        <w:tc>
          <w:tcPr>
            <w:tcW w:w="110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34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r>
                  <m:rPr/>
                  <w:rPr>
                    <w:rFonts w:hint="default" w:ascii="Cambria Math" w:hAnsi="Cambria Math" w:cs="Times New Roman"/>
                    <w:color w:val="auto"/>
                    <w:sz w:val="20"/>
                    <w:szCs w:val="20"/>
                    <w:highlight w:val="none"/>
                    <w:vertAlign w:val="baseline"/>
                    <w:lang w:val="en-US"/>
                  </w:rPr>
                  <m:t>≤</m:t>
                </m:r>
                <m:r>
                  <m:rPr/>
                  <w:rPr>
                    <w:rFonts w:hint="default" w:ascii="Cambria Math" w:hAnsi="Cambria Math" w:cs="Times New Roman"/>
                    <w:color w:val="auto"/>
                    <w:sz w:val="20"/>
                    <w:szCs w:val="20"/>
                    <w:highlight w:val="none"/>
                    <w:vertAlign w:val="baseline"/>
                    <w:lang w:val="en-US" w:eastAsia="zh-CN"/>
                  </w:rPr>
                  <m:t>U</m:t>
                </m:r>
                <m:r>
                  <m:rPr/>
                  <w:rPr>
                    <w:rFonts w:hint="default" w:ascii="Cambria Math" w:hAnsi="Cambria Math" w:cs="Times New Roman"/>
                    <w:color w:val="auto"/>
                    <w:sz w:val="20"/>
                    <w:szCs w:val="20"/>
                    <w:highlight w:val="none"/>
                    <w:vertAlign w:val="baseline"/>
                    <w:lang w:val="en-US"/>
                  </w:rPr>
                  <m:t>≤</m:t>
                </m:r>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260"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、50%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w:p>
        </w:tc>
        <w:tc>
          <w:tcPr>
            <w:tcW w:w="1396"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表中括号内为可选试验点，根据需要，试验时可增加其他试验点。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注</w:t>
            </w:r>
            <w:r>
              <w:rPr>
                <w:rFonts w:hint="default" w:ascii="Times New Roman" w:hAnsi="Times New Roman" w:cs="Times New Roman"/>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为现场实际输入电压</w:t>
            </w:r>
            <w:r>
              <w:rPr>
                <w:rFonts w:hint="default" w:ascii="Times New Roman" w:hAnsi="Times New Roman" w:cs="Times New Roman"/>
                <w:color w:val="auto"/>
                <w:sz w:val="20"/>
                <w:szCs w:val="20"/>
                <w:highlight w:val="none"/>
                <w:vertAlign w:val="baseline"/>
                <w:lang w:val="en-US" w:eastAsia="zh-CN"/>
              </w:rPr>
              <w:t>值；</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为允许电</w:t>
            </w:r>
            <w:r>
              <w:rPr>
                <w:rFonts w:hint="default" w:ascii="Times New Roman" w:hAnsi="Times New Roman" w:cs="Times New Roman"/>
                <w:color w:val="auto"/>
                <w:sz w:val="20"/>
                <w:szCs w:val="20"/>
                <w:highlight w:val="none"/>
                <w:vertAlign w:val="baseline"/>
                <w:lang w:val="en-US" w:eastAsia="zh-CN"/>
              </w:rPr>
              <w:t>压</w:t>
            </w:r>
            <w:r>
              <w:rPr>
                <w:rFonts w:hint="default" w:ascii="Times New Roman" w:hAnsi="Times New Roman" w:cs="Times New Roman"/>
                <w:color w:val="auto"/>
                <w:sz w:val="20"/>
                <w:szCs w:val="20"/>
                <w:highlight w:val="none"/>
                <w:vertAlign w:val="baseline"/>
              </w:rPr>
              <w:t>输出上限值</w:t>
            </w:r>
            <w:r>
              <w:rPr>
                <w:rFonts w:hint="default" w:ascii="Times New Roman" w:hAnsi="Times New Roman" w:cs="Times New Roman"/>
                <w:color w:val="auto"/>
                <w:sz w:val="20"/>
                <w:szCs w:val="20"/>
                <w:highlight w:val="none"/>
                <w:vertAlign w:val="baseline"/>
                <w:lang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w:t>
            </w:r>
            <w:r>
              <w:rPr>
                <w:rFonts w:hint="default" w:ascii="Times New Roman" w:hAnsi="Times New Roman" w:cs="Times New Roman"/>
                <w:color w:val="auto"/>
                <w:sz w:val="20"/>
                <w:szCs w:val="20"/>
                <w:highlight w:val="none"/>
                <w:vertAlign w:val="baseline"/>
                <w:lang w:val="en-US" w:eastAsia="zh-CN"/>
              </w:rPr>
              <w:t>允许电压</w:t>
            </w:r>
            <w:r>
              <w:rPr>
                <w:rFonts w:hint="default" w:ascii="Times New Roman" w:hAnsi="Times New Roman" w:cs="Times New Roman"/>
                <w:color w:val="auto"/>
                <w:sz w:val="20"/>
                <w:szCs w:val="20"/>
                <w:highlight w:val="none"/>
                <w:vertAlign w:val="baseline"/>
              </w:rPr>
              <w:t>输出下限值</w:t>
            </w:r>
            <w:r>
              <w:rPr>
                <w:rFonts w:hint="default" w:ascii="Times New Roman" w:hAnsi="Times New Roman" w:cs="Times New Roman"/>
                <w:color w:val="auto"/>
                <w:sz w:val="20"/>
                <w:szCs w:val="20"/>
                <w:highlight w:val="none"/>
                <w:vertAlign w:val="baseline"/>
                <w:lang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men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w:t>
            </w:r>
            <w:r>
              <w:rPr>
                <w:rFonts w:hint="default" w:ascii="Times New Roman" w:hAnsi="Times New Roman" w:cs="Times New Roman"/>
                <w:color w:val="auto"/>
                <w:sz w:val="20"/>
                <w:szCs w:val="20"/>
                <w:highlight w:val="none"/>
                <w:vertAlign w:val="baseline"/>
                <w:lang w:val="en-US" w:eastAsia="zh-CN"/>
              </w:rPr>
              <w:t>输出</w:t>
            </w:r>
            <w:r>
              <w:rPr>
                <w:rFonts w:hint="default" w:ascii="Times New Roman" w:hAnsi="Times New Roman" w:cs="Times New Roman"/>
                <w:color w:val="auto"/>
                <w:sz w:val="20"/>
                <w:szCs w:val="20"/>
                <w:highlight w:val="none"/>
                <w:vertAlign w:val="baseline"/>
              </w:rPr>
              <w:t>电压中</w:t>
            </w:r>
            <w:r>
              <w:rPr>
                <w:rFonts w:hint="default" w:ascii="Times New Roman" w:hAnsi="Times New Roman" w:cs="Times New Roman"/>
                <w:color w:val="auto"/>
                <w:sz w:val="20"/>
                <w:szCs w:val="20"/>
                <w:highlight w:val="none"/>
                <w:vertAlign w:val="baseline"/>
                <w:lang w:val="en-US" w:eastAsia="zh-CN"/>
              </w:rPr>
              <w:t>值；</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为额定输出电流值。</w:t>
            </w:r>
          </w:p>
        </w:tc>
      </w:tr>
    </w:tbl>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输出电压测量误差试验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充电机连接负载，并设置在恒压状态下运行，参照表</w:t>
      </w:r>
      <w:r>
        <w:rPr>
          <w:rFonts w:hint="default" w:ascii="Times New Roman" w:hAnsi="Times New Roman" w:cs="Times New Roman"/>
          <w:color w:val="auto"/>
          <w:sz w:val="20"/>
          <w:szCs w:val="24"/>
          <w:highlight w:val="none"/>
          <w:lang w:val="en-US" w:eastAsia="zh-CN"/>
        </w:rPr>
        <w:t>1</w:t>
      </w:r>
      <w:r>
        <w:rPr>
          <w:rFonts w:hint="default" w:ascii="Times New Roman" w:hAnsi="Times New Roman" w:cs="Times New Roman"/>
          <w:color w:val="auto"/>
          <w:sz w:val="20"/>
          <w:szCs w:val="24"/>
          <w:highlight w:val="none"/>
        </w:rPr>
        <w:t>设定输出电压整定值，调整负载电流在规定范围内，分别测量充电机的实际输出电压UM，并记录充电机充电状态报文中的输出电压值UCM。输出电压测量误差应满足NB/T 33001-2018中7.10的规定。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输出电流</w:t>
      </w:r>
      <w:r>
        <w:rPr>
          <w:rFonts w:hint="default" w:ascii="Times New Roman" w:hAnsi="Times New Roman" w:cs="Times New Roman"/>
          <w:color w:val="auto"/>
          <w:sz w:val="21"/>
          <w:szCs w:val="21"/>
          <w:highlight w:val="none"/>
        </w:rPr>
        <w:t>误差</w:t>
      </w:r>
      <w:r>
        <w:rPr>
          <w:rFonts w:hint="default" w:ascii="Times New Roman" w:hAnsi="Times New Roman" w:cs="Times New Roman"/>
          <w:color w:val="auto"/>
          <w:sz w:val="20"/>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充电机连接负载，并设置在恒流状态下运行，参照表</w:t>
      </w:r>
      <w:r>
        <w:rPr>
          <w:rFonts w:hint="default" w:ascii="Times New Roman" w:hAnsi="Times New Roman" w:cs="Times New Roman"/>
          <w:color w:val="auto"/>
          <w:sz w:val="20"/>
          <w:szCs w:val="24"/>
          <w:highlight w:val="none"/>
          <w:lang w:val="en-US" w:eastAsia="zh-CN"/>
        </w:rPr>
        <w:t>1</w:t>
      </w:r>
      <w:r>
        <w:rPr>
          <w:rFonts w:hint="default" w:ascii="Times New Roman" w:hAnsi="Times New Roman" w:cs="Times New Roman"/>
          <w:color w:val="auto"/>
          <w:sz w:val="20"/>
          <w:szCs w:val="24"/>
          <w:highlight w:val="none"/>
        </w:rPr>
        <w:t>设定输出电流整定值，调整负载电压在规定范围内，测量充电机的输出电流IZ，在充电机设定的输出电流整定值不小于30 A时，输出电流误差应满足NB/T 33001-2018中的7.7.8的规定。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输出电流测量误差试验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充电机连接负载，并设置在恒流状态下运行，参照表</w:t>
      </w:r>
      <w:r>
        <w:rPr>
          <w:rFonts w:hint="default" w:ascii="Times New Roman" w:hAnsi="Times New Roman" w:cs="Times New Roman"/>
          <w:color w:val="auto"/>
          <w:sz w:val="20"/>
          <w:szCs w:val="24"/>
          <w:highlight w:val="none"/>
          <w:lang w:val="en-US" w:eastAsia="zh-CN"/>
        </w:rPr>
        <w:t>1</w:t>
      </w:r>
      <w:r>
        <w:rPr>
          <w:rFonts w:hint="default" w:ascii="Times New Roman" w:hAnsi="Times New Roman" w:cs="Times New Roman"/>
          <w:color w:val="auto"/>
          <w:sz w:val="20"/>
          <w:szCs w:val="24"/>
          <w:highlight w:val="none"/>
        </w:rPr>
        <w:t>设定输出电流整定值，调整负载电压在规定范围内，测量充电机的实际输出电流IM，并记录充电机充电状态报文中的输出电压值ICM。输出电流测量误差应满足NB/T 33001-2018中7.10的规定。</w:t>
      </w:r>
    </w:p>
    <w:p>
      <w:pPr>
        <w:pStyle w:val="30"/>
        <w:keepNext w:val="0"/>
        <w:keepLines w:val="0"/>
        <w:pageBreakBefore w:val="0"/>
        <w:widowControl/>
        <w:kinsoku/>
        <w:wordWrap/>
        <w:overflowPunct/>
        <w:topLinePunct w:val="0"/>
        <w:autoSpaceDE/>
        <w:autoSpaceDN/>
        <w:bidi w:val="0"/>
        <w:adjustRightInd/>
        <w:snapToGrid/>
        <w:spacing w:before="156" w:after="157" w:afterLines="50"/>
        <w:textAlignment w:val="auto"/>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非车载充电机互操作性检测（设备检测）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充电控制信号</w:t>
      </w:r>
      <w:r>
        <w:rPr>
          <w:rFonts w:hint="default" w:ascii="Times New Roman" w:hAnsi="Times New Roman" w:cs="Times New Roman"/>
          <w:color w:val="auto"/>
          <w:sz w:val="21"/>
          <w:szCs w:val="21"/>
          <w:highlight w:val="none"/>
        </w:rPr>
        <w:t>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当非车载充电机与直流充电模拟装置确认连接后，检查充电机控制导引检测点1电压误差应符合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中表B.1的规定。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充电控制时序</w:t>
      </w:r>
      <w:r>
        <w:rPr>
          <w:rFonts w:hint="default" w:ascii="Times New Roman" w:hAnsi="Times New Roman" w:cs="Times New Roman"/>
          <w:color w:val="auto"/>
          <w:sz w:val="21"/>
          <w:szCs w:val="21"/>
          <w:highlight w:val="none"/>
        </w:rPr>
        <w:t>检查</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利用直流充电模拟装置进行正常充电时序的检查，以及正常条件下的充电结束，包括充电机主动中止充电和车辆主动中止充电。</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a）模拟充电机达到设定的充电终止条件，检查整个充电过程的控制信号、充电机的输出电压和电流以及电子锁状态应符合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中B.3.6、B.4及B.5的规定；</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利用车辆BMS模拟软件发送车辆主动中止充电指令，检查整个充电过程的控制信号、充电机的输出电压和电流以及电子锁状态应符合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中B.3.6、B.4及B.5的规定。</w:t>
      </w:r>
    </w:p>
    <w:p>
      <w:pPr>
        <w:pStyle w:val="33"/>
        <w:keepNext w:val="0"/>
        <w:keepLines w:val="0"/>
        <w:pageBreakBefore w:val="0"/>
        <w:widowControl/>
        <w:kinsoku/>
        <w:wordWrap/>
        <w:overflowPunct/>
        <w:topLinePunct w:val="0"/>
        <w:autoSpaceDE/>
        <w:autoSpaceDN/>
        <w:bidi w:val="0"/>
        <w:adjustRightInd/>
        <w:snapToGrid/>
        <w:spacing w:afterLines="0"/>
        <w:textAlignment w:val="auto"/>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充电异常状态</w:t>
      </w:r>
      <w:r>
        <w:rPr>
          <w:rFonts w:hint="default" w:ascii="Times New Roman" w:hAnsi="Times New Roman" w:cs="Times New Roman"/>
          <w:color w:val="auto"/>
          <w:sz w:val="21"/>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利用直流充电模拟装置模拟以下故障，检查充电机在异常状态下的动作响应：</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在充电前，按照GB/T 34657.1-2017中6.3.4.5规定的方法模拟绝缘故障，检查充电设备的绝缘检测功能和泄放过程应符合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中B.4.1和B.4.2的规定；</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在正常充电过程中，按照GB/T 34657.1-2017中6.3.4.1规定的方法模拟通信中断，检查充电设备充电结束或中止应符合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中B.3.7.3的规定；</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在正常充电过程中，按照GB/T 34657.1-2017中6.3.4.3规定的方法模拟车辆接口断开，检查充电设备充电结束或中止应符合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中B.3.7.5和GB/T 34657.1-2017中6.3.4.3的规定。</w:t>
      </w:r>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通信协议一致性检验（设备检测）</w:t>
      </w:r>
    </w:p>
    <w:p>
      <w:pPr>
        <w:pStyle w:val="33"/>
        <w:keepNext w:val="0"/>
        <w:keepLines w:val="0"/>
        <w:pageBreakBefore w:val="0"/>
        <w:widowControl/>
        <w:kinsoku/>
        <w:wordWrap/>
        <w:overflowPunct/>
        <w:topLinePunct w:val="0"/>
        <w:autoSpaceDE/>
        <w:autoSpaceDN/>
        <w:bidi w:val="0"/>
        <w:adjustRightInd/>
        <w:snapToGrid/>
        <w:spacing w:before="156"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低压辅助上电及充电握手阶段检查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依据GB/T</w:t>
      </w:r>
      <w:r>
        <w:rPr>
          <w:rFonts w:hint="eastAsia" w:ascii="Times New Roman" w:cs="Times New Roman"/>
          <w:color w:val="auto"/>
          <w:sz w:val="20"/>
          <w:szCs w:val="24"/>
          <w:highlight w:val="none"/>
          <w:lang w:val="en-US" w:eastAsia="zh-CN"/>
        </w:rPr>
        <w:t xml:space="preserve"> </w:t>
      </w:r>
      <w:r>
        <w:rPr>
          <w:rFonts w:hint="default" w:ascii="Times New Roman" w:hAnsi="Times New Roman" w:cs="Times New Roman"/>
          <w:color w:val="auto"/>
          <w:sz w:val="20"/>
          <w:szCs w:val="24"/>
          <w:highlight w:val="none"/>
        </w:rPr>
        <w:t>34658进行通讯协议测试，该阶段测试项目：DP1001</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DP1002</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DP1003。</w:t>
      </w:r>
    </w:p>
    <w:p>
      <w:pPr>
        <w:pStyle w:val="33"/>
        <w:keepNext w:val="0"/>
        <w:keepLines w:val="0"/>
        <w:pageBreakBefore w:val="0"/>
        <w:widowControl/>
        <w:kinsoku/>
        <w:wordWrap/>
        <w:overflowPunct/>
        <w:topLinePunct w:val="0"/>
        <w:autoSpaceDE/>
        <w:autoSpaceDN/>
        <w:bidi w:val="0"/>
        <w:adjustRightInd/>
        <w:snapToGrid/>
        <w:spacing w:before="156"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充电参数配置阶段检查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依据GB/T</w:t>
      </w:r>
      <w:r>
        <w:rPr>
          <w:rFonts w:hint="eastAsia" w:ascii="Times New Roman" w:cs="Times New Roman"/>
          <w:color w:val="auto"/>
          <w:sz w:val="20"/>
          <w:szCs w:val="24"/>
          <w:highlight w:val="none"/>
          <w:lang w:val="en-US" w:eastAsia="zh-CN"/>
        </w:rPr>
        <w:t xml:space="preserve"> </w:t>
      </w:r>
      <w:r>
        <w:rPr>
          <w:rFonts w:hint="default" w:ascii="Times New Roman" w:hAnsi="Times New Roman" w:cs="Times New Roman"/>
          <w:color w:val="auto"/>
          <w:sz w:val="20"/>
          <w:szCs w:val="24"/>
          <w:highlight w:val="none"/>
        </w:rPr>
        <w:t>34658进行通讯协议测试，该阶段测试项目：DP2001</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DP2002</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DP2003。</w:t>
      </w:r>
    </w:p>
    <w:p>
      <w:pPr>
        <w:pStyle w:val="33"/>
        <w:keepNext w:val="0"/>
        <w:keepLines w:val="0"/>
        <w:pageBreakBefore w:val="0"/>
        <w:widowControl/>
        <w:kinsoku/>
        <w:wordWrap/>
        <w:overflowPunct/>
        <w:topLinePunct w:val="0"/>
        <w:autoSpaceDE/>
        <w:autoSpaceDN/>
        <w:bidi w:val="0"/>
        <w:adjustRightInd/>
        <w:snapToGrid/>
        <w:spacing w:before="156"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充电阶段</w:t>
      </w:r>
      <w:r>
        <w:rPr>
          <w:rFonts w:hint="default" w:ascii="Times New Roman" w:hAnsi="Times New Roman" w:cs="Times New Roman"/>
          <w:color w:val="auto"/>
          <w:sz w:val="21"/>
          <w:szCs w:val="21"/>
          <w:highlight w:val="none"/>
        </w:rPr>
        <w:t>检查</w:t>
      </w:r>
      <w:r>
        <w:rPr>
          <w:rFonts w:hint="default" w:ascii="Times New Roman" w:hAnsi="Times New Roman" w:cs="Times New Roman"/>
          <w:color w:val="auto"/>
          <w:sz w:val="20"/>
          <w:szCs w:val="21"/>
          <w:highlight w:val="none"/>
        </w:rPr>
        <w:tab/>
      </w:r>
    </w:p>
    <w:p>
      <w:pPr>
        <w:pStyle w:val="28"/>
        <w:ind w:firstLine="400"/>
        <w:jc w:val="both"/>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依据GB/T</w:t>
      </w:r>
      <w:r>
        <w:rPr>
          <w:rFonts w:hint="eastAsia" w:ascii="Times New Roman" w:cs="Times New Roman"/>
          <w:color w:val="auto"/>
          <w:sz w:val="20"/>
          <w:szCs w:val="24"/>
          <w:highlight w:val="none"/>
          <w:lang w:val="en-US" w:eastAsia="zh-CN"/>
        </w:rPr>
        <w:t xml:space="preserve"> </w:t>
      </w:r>
      <w:r>
        <w:rPr>
          <w:rFonts w:hint="default" w:ascii="Times New Roman" w:hAnsi="Times New Roman" w:cs="Times New Roman"/>
          <w:color w:val="auto"/>
          <w:sz w:val="20"/>
          <w:szCs w:val="24"/>
          <w:highlight w:val="none"/>
        </w:rPr>
        <w:t>34658进行通讯协议测试，该阶段测试项目：</w:t>
      </w:r>
    </w:p>
    <w:p>
      <w:pPr>
        <w:pStyle w:val="28"/>
        <w:ind w:firstLine="400"/>
        <w:jc w:val="both"/>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DP3001</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DP3002</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DP3003</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DP3004</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DP3005</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DP3006</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DP3007。</w:t>
      </w:r>
    </w:p>
    <w:p>
      <w:pPr>
        <w:pStyle w:val="33"/>
        <w:keepNext w:val="0"/>
        <w:keepLines w:val="0"/>
        <w:pageBreakBefore w:val="0"/>
        <w:widowControl/>
        <w:kinsoku/>
        <w:wordWrap/>
        <w:overflowPunct/>
        <w:topLinePunct w:val="0"/>
        <w:autoSpaceDE/>
        <w:autoSpaceDN/>
        <w:bidi w:val="0"/>
        <w:adjustRightInd/>
        <w:snapToGrid/>
        <w:spacing w:before="156"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充电结束阶段检查</w:t>
      </w:r>
      <w:r>
        <w:rPr>
          <w:rFonts w:hint="default" w:ascii="Times New Roman" w:hAnsi="Times New Roman" w:cs="Times New Roman"/>
          <w:color w:val="auto"/>
          <w:sz w:val="20"/>
          <w:szCs w:val="21"/>
          <w:highlight w:val="none"/>
        </w:rPr>
        <w:tab/>
      </w:r>
    </w:p>
    <w:p>
      <w:pPr>
        <w:pStyle w:val="28"/>
        <w:keepNext w:val="0"/>
        <w:keepLines w:val="0"/>
        <w:pageBreakBefore w:val="0"/>
        <w:widowControl/>
        <w:kinsoku/>
        <w:wordWrap/>
        <w:overflowPunct/>
        <w:topLinePunct w:val="0"/>
        <w:autoSpaceDE w:val="0"/>
        <w:autoSpaceDN w:val="0"/>
        <w:bidi w:val="0"/>
        <w:adjustRightInd/>
        <w:snapToGrid/>
        <w:ind w:firstLine="400"/>
        <w:textAlignment w:val="auto"/>
        <w:outlineLvl w:val="0"/>
        <w:rPr>
          <w:rFonts w:hint="default" w:ascii="Times New Roman" w:hAnsi="Times New Roman" w:cs="Times New Roman"/>
          <w:color w:val="auto"/>
          <w:highlight w:val="none"/>
        </w:rPr>
      </w:pPr>
      <w:bookmarkStart w:id="54" w:name="_Toc5833"/>
      <w:r>
        <w:rPr>
          <w:rFonts w:hint="default" w:ascii="Times New Roman" w:hAnsi="Times New Roman" w:cs="Times New Roman"/>
          <w:color w:val="auto"/>
          <w:sz w:val="20"/>
          <w:szCs w:val="24"/>
          <w:highlight w:val="none"/>
        </w:rPr>
        <w:t>依据GB/T</w:t>
      </w:r>
      <w:r>
        <w:rPr>
          <w:rFonts w:hint="eastAsia" w:ascii="Times New Roman" w:cs="Times New Roman"/>
          <w:color w:val="auto"/>
          <w:sz w:val="20"/>
          <w:szCs w:val="24"/>
          <w:highlight w:val="none"/>
          <w:lang w:val="en-US" w:eastAsia="zh-CN"/>
        </w:rPr>
        <w:t xml:space="preserve"> </w:t>
      </w:r>
      <w:r>
        <w:rPr>
          <w:rFonts w:hint="default" w:ascii="Times New Roman" w:hAnsi="Times New Roman" w:cs="Times New Roman"/>
          <w:color w:val="auto"/>
          <w:sz w:val="20"/>
          <w:szCs w:val="24"/>
          <w:highlight w:val="none"/>
        </w:rPr>
        <w:t>34658进行通讯协议测试，该阶段测试项目：DP4001</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DP4002。</w:t>
      </w:r>
      <w:bookmarkEnd w:id="54"/>
    </w:p>
    <w:p>
      <w:pPr>
        <w:pStyle w:val="32"/>
        <w:spacing w:before="312" w:after="312"/>
        <w:outlineLvl w:val="0"/>
        <w:rPr>
          <w:rFonts w:hint="default" w:ascii="Times New Roman" w:hAnsi="Times New Roman" w:cs="Times New Roman"/>
          <w:color w:val="auto"/>
          <w:highlight w:val="none"/>
        </w:rPr>
      </w:pPr>
      <w:bookmarkStart w:id="55" w:name="_Toc26786"/>
      <w:r>
        <w:rPr>
          <w:rFonts w:hint="default" w:ascii="Times New Roman" w:hAnsi="Times New Roman" w:cs="Times New Roman"/>
          <w:color w:val="auto"/>
          <w:highlight w:val="none"/>
        </w:rPr>
        <w:t>场站配套检测项目</w:t>
      </w:r>
      <w:bookmarkEnd w:id="55"/>
    </w:p>
    <w:p>
      <w:pPr>
        <w:pStyle w:val="30"/>
        <w:spacing w:before="156" w:after="156"/>
        <w:outlineLvl w:val="1"/>
        <w:rPr>
          <w:rFonts w:hint="default" w:ascii="Times New Roman" w:hAnsi="Times New Roman" w:cs="Times New Roman"/>
          <w:color w:val="auto"/>
          <w:highlight w:val="none"/>
        </w:rPr>
      </w:pPr>
      <w:bookmarkStart w:id="56" w:name="_Toc17658"/>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总体环境检查</w:t>
      </w:r>
      <w:bookmarkEnd w:id="56"/>
      <w:r>
        <w:rPr>
          <w:rFonts w:hint="default" w:ascii="Times New Roman" w:hAnsi="Times New Roman" w:cs="Times New Roman"/>
          <w:color w:val="auto"/>
          <w:highlight w:val="none"/>
        </w:rPr>
        <w:tab/>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站址选择</w:t>
      </w:r>
      <w:r>
        <w:rPr>
          <w:rFonts w:hint="default" w:ascii="Times New Roman" w:hAnsi="Times New Roman" w:cs="Times New Roman"/>
          <w:color w:val="auto"/>
          <w:highlight w:val="none"/>
        </w:rPr>
        <w:tab/>
      </w:r>
    </w:p>
    <w:p>
      <w:pPr>
        <w:pStyle w:val="28"/>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充电场站站址选择应遵循以下原则：</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站址不应建在地势低洼或因降水易造成城市内涝或积水区域</w:t>
      </w:r>
      <w:r>
        <w:rPr>
          <w:rFonts w:hint="default" w:ascii="Times New Roman" w:hAnsi="Times New Roman" w:cs="Times New Roman"/>
          <w:color w:val="auto"/>
          <w:highlight w:val="none"/>
          <w:lang w:eastAsia="zh-CN"/>
        </w:rPr>
        <w:t>；</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站址不宜建设在修车库内</w:t>
      </w:r>
      <w:r>
        <w:rPr>
          <w:rFonts w:hint="default" w:ascii="Times New Roman" w:hAnsi="Times New Roman" w:cs="Times New Roman"/>
          <w:color w:val="auto"/>
          <w:highlight w:val="none"/>
          <w:lang w:eastAsia="zh-CN"/>
        </w:rPr>
        <w:t>；</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站址不宜设立城市交通十字路口或易发生交通拥堵道路周围</w:t>
      </w:r>
      <w:r>
        <w:rPr>
          <w:rFonts w:hint="default" w:ascii="Times New Roman" w:hAnsi="Times New Roman" w:cs="Times New Roman"/>
          <w:color w:val="auto"/>
          <w:highlight w:val="none"/>
          <w:lang w:eastAsia="zh-CN"/>
        </w:rPr>
        <w:t>；</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d</w:t>
      </w:r>
      <w:r>
        <w:rPr>
          <w:rFonts w:hint="default" w:ascii="Times New Roman" w:hAnsi="Times New Roman" w:cs="Times New Roman"/>
          <w:color w:val="auto"/>
          <w:sz w:val="20"/>
          <w:szCs w:val="24"/>
          <w:highlight w:val="none"/>
          <w:lang w:eastAsia="zh-CN"/>
        </w:rPr>
        <w:t>）</w:t>
      </w:r>
      <w:bookmarkStart w:id="57" w:name="OLE_LINK15"/>
      <w:r>
        <w:rPr>
          <w:rFonts w:hint="default" w:ascii="Times New Roman" w:hAnsi="Times New Roman" w:cs="Times New Roman"/>
          <w:color w:val="auto"/>
          <w:highlight w:val="none"/>
        </w:rPr>
        <w:t>站址选择</w:t>
      </w:r>
      <w:bookmarkEnd w:id="57"/>
      <w:r>
        <w:rPr>
          <w:rFonts w:hint="default" w:ascii="Times New Roman" w:hAnsi="Times New Roman" w:cs="Times New Roman"/>
          <w:color w:val="auto"/>
          <w:highlight w:val="none"/>
        </w:rPr>
        <w:t>应充分考虑城市电网分配能力，依据电网电力供应能力合理选址</w:t>
      </w:r>
      <w:r>
        <w:rPr>
          <w:rFonts w:hint="default" w:ascii="Times New Roman" w:hAnsi="Times New Roman" w:cs="Times New Roman"/>
          <w:color w:val="auto"/>
          <w:highlight w:val="none"/>
          <w:lang w:eastAsia="zh-CN"/>
        </w:rPr>
        <w:t>；</w:t>
      </w:r>
    </w:p>
    <w:p>
      <w:pPr>
        <w:pStyle w:val="28"/>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0"/>
          <w:szCs w:val="24"/>
          <w:highlight w:val="none"/>
          <w:lang w:val="en-US" w:eastAsia="zh-CN"/>
        </w:rPr>
        <w:t>e</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val="en-US" w:eastAsia="zh-CN"/>
        </w:rPr>
        <w:t>站址</w:t>
      </w:r>
      <w:r>
        <w:rPr>
          <w:rFonts w:hint="default" w:ascii="Times New Roman" w:hAnsi="Times New Roman" w:cs="Times New Roman"/>
          <w:color w:val="auto"/>
          <w:highlight w:val="none"/>
        </w:rPr>
        <w:t>应符合防火安全和电气安全的要求，宜远离易燃、易爆、污染等危险源，满足站内外防火间距</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电气设备绝缘配合有关标准的要求</w:t>
      </w:r>
      <w:r>
        <w:rPr>
          <w:rFonts w:hint="default" w:ascii="Times New Roman" w:hAnsi="Times New Roman" w:cs="Times New Roman"/>
          <w:color w:val="auto"/>
          <w:highlight w:val="none"/>
          <w:lang w:eastAsia="zh-CN"/>
        </w:rPr>
        <w:t>；</w:t>
      </w:r>
    </w:p>
    <w:p>
      <w:pPr>
        <w:pStyle w:val="28"/>
        <w:rPr>
          <w:rFonts w:hint="eastAsia" w:ascii="Times New Roman" w:cs="Times New Roman"/>
          <w:color w:val="auto"/>
          <w:highlight w:val="none"/>
          <w:lang w:eastAsia="zh-CN"/>
        </w:rPr>
      </w:pPr>
      <w:r>
        <w:rPr>
          <w:rFonts w:hint="default" w:ascii="Times New Roman" w:hAnsi="Times New Roman" w:cs="Times New Roman"/>
          <w:color w:val="auto"/>
          <w:sz w:val="20"/>
          <w:szCs w:val="24"/>
          <w:highlight w:val="none"/>
          <w:lang w:val="en-US" w:eastAsia="zh-CN"/>
        </w:rPr>
        <w:t>f</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eastAsia="zh-CN"/>
        </w:rPr>
        <w:t>电动汽车充换电设施是配电网的重要组成部分，其选址应兼顾电网规划的要求，并与电网规划、建设与改造密切结合，满足电力系统对电力平衡、供电可靠性、电能质量、配电自动化等方面的要求，并结合变电站的建设、改造进行科学、合理的选址</w:t>
      </w:r>
      <w:r>
        <w:rPr>
          <w:rFonts w:hint="eastAsia" w:ascii="Times New Roman" w:cs="Times New Roman"/>
          <w:color w:val="auto"/>
          <w:highlight w:val="none"/>
          <w:lang w:eastAsia="zh-CN"/>
        </w:rPr>
        <w:t>；</w:t>
      </w:r>
    </w:p>
    <w:p>
      <w:pPr>
        <w:pStyle w:val="28"/>
        <w:rPr>
          <w:rFonts w:hint="default" w:ascii="Times New Roman" w:cs="Times New Roman"/>
          <w:color w:val="auto"/>
          <w:highlight w:val="none"/>
          <w:lang w:val="en-US" w:eastAsia="zh-CN"/>
        </w:rPr>
      </w:pPr>
      <w:r>
        <w:rPr>
          <w:rFonts w:hint="eastAsia" w:ascii="Times New Roman" w:cs="Times New Roman"/>
          <w:color w:val="auto"/>
          <w:highlight w:val="none"/>
          <w:lang w:val="en-US" w:eastAsia="zh-CN"/>
        </w:rPr>
        <w:t>g）</w:t>
      </w:r>
      <w:r>
        <w:rPr>
          <w:rFonts w:hint="default" w:ascii="Times New Roman" w:hAnsi="Times New Roman" w:cs="Times New Roman"/>
          <w:color w:val="auto"/>
          <w:highlight w:val="none"/>
        </w:rPr>
        <w:t>站址选择</w:t>
      </w:r>
      <w:r>
        <w:rPr>
          <w:rFonts w:hint="eastAsia" w:ascii="Times New Roman" w:cs="Times New Roman"/>
          <w:color w:val="auto"/>
          <w:highlight w:val="none"/>
          <w:lang w:val="en-US" w:eastAsia="zh-CN"/>
        </w:rPr>
        <w:t>宜避免异味源（垃圾投放点、污水口）、避免临近餐饮排烟口、断头路。</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站区</w:t>
      </w:r>
      <w:r>
        <w:rPr>
          <w:rFonts w:hint="default" w:ascii="Times New Roman" w:hAnsi="Times New Roman" w:cs="Times New Roman"/>
          <w:color w:val="auto"/>
          <w:sz w:val="20"/>
          <w:highlight w:val="none"/>
        </w:rPr>
        <w:t>布置</w:t>
      </w:r>
      <w:r>
        <w:rPr>
          <w:rFonts w:hint="default" w:ascii="Times New Roman" w:hAnsi="Times New Roman" w:cs="Times New Roman"/>
          <w:color w:val="auto"/>
          <w:highlight w:val="none"/>
        </w:rPr>
        <w:tab/>
      </w:r>
    </w:p>
    <w:p>
      <w:pPr>
        <w:pStyle w:val="28"/>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充电场站站区布置应遵循以下原则：</w:t>
      </w:r>
    </w:p>
    <w:p>
      <w:pPr>
        <w:pStyle w:val="28"/>
        <w:ind w:firstLineChars="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安装工位应合理</w:t>
      </w:r>
      <w:r>
        <w:rPr>
          <w:rFonts w:hint="default" w:ascii="Times New Roman" w:hAnsi="Times New Roman" w:cs="Times New Roman"/>
          <w:color w:val="auto"/>
          <w:sz w:val="20"/>
          <w:highlight w:val="none"/>
        </w:rPr>
        <w:t>布置。站场内应设有紧急撤离通道。</w:t>
      </w:r>
      <w:r>
        <w:rPr>
          <w:rFonts w:hint="default" w:ascii="Times New Roman" w:hAnsi="Times New Roman" w:cs="Times New Roman"/>
          <w:color w:val="auto"/>
          <w:sz w:val="20"/>
          <w:highlight w:val="none"/>
          <w:lang w:eastAsia="zh-CN"/>
        </w:rPr>
        <w:t>充电场站</w:t>
      </w:r>
      <w:r>
        <w:rPr>
          <w:rFonts w:hint="default" w:ascii="Times New Roman" w:hAnsi="Times New Roman" w:cs="Times New Roman"/>
          <w:color w:val="auto"/>
          <w:sz w:val="20"/>
          <w:highlight w:val="none"/>
        </w:rPr>
        <w:t>的出入口</w:t>
      </w:r>
      <w:r>
        <w:rPr>
          <w:rFonts w:hint="default" w:ascii="Times New Roman" w:hAnsi="Times New Roman" w:cs="Times New Roman"/>
          <w:color w:val="auto"/>
          <w:highlight w:val="none"/>
        </w:rPr>
        <w:t>应分别设置车道与站外道路连接</w:t>
      </w:r>
      <w:r>
        <w:rPr>
          <w:rFonts w:hint="default" w:ascii="Times New Roman" w:hAnsi="Times New Roman" w:cs="Times New Roman"/>
          <w:color w:val="auto"/>
          <w:highlight w:val="none"/>
          <w:lang w:eastAsia="zh-CN"/>
        </w:rPr>
        <w:t>；</w:t>
      </w:r>
    </w:p>
    <w:p>
      <w:pPr>
        <w:pStyle w:val="28"/>
        <w:ind w:firstLineChars="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安装</w:t>
      </w:r>
      <w:r>
        <w:rPr>
          <w:rFonts w:hint="default" w:ascii="Times New Roman" w:hAnsi="Times New Roman" w:cs="Times New Roman"/>
          <w:color w:val="auto"/>
          <w:highlight w:val="none"/>
          <w:lang w:val="en-US" w:eastAsia="zh-CN"/>
        </w:rPr>
        <w:t>防撞设施</w:t>
      </w:r>
      <w:r>
        <w:rPr>
          <w:rFonts w:hint="default" w:ascii="Times New Roman" w:hAnsi="Times New Roman" w:cs="Times New Roman"/>
          <w:color w:val="auto"/>
          <w:highlight w:val="none"/>
        </w:rPr>
        <w:t>，避免车辆意外撞击引起充电设施损坏</w:t>
      </w:r>
      <w:r>
        <w:rPr>
          <w:rFonts w:hint="default" w:ascii="Times New Roman" w:hAnsi="Times New Roman" w:cs="Times New Roman"/>
          <w:color w:val="auto"/>
          <w:highlight w:val="none"/>
          <w:lang w:eastAsia="zh-CN"/>
        </w:rPr>
        <w:t>；</w:t>
      </w:r>
    </w:p>
    <w:p>
      <w:pPr>
        <w:pStyle w:val="28"/>
        <w:ind w:firstLineChars="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val="en-US" w:eastAsia="zh-CN"/>
        </w:rPr>
        <w:t>充</w:t>
      </w:r>
      <w:r>
        <w:rPr>
          <w:rFonts w:hint="default" w:ascii="Times New Roman" w:hAnsi="Times New Roman" w:cs="Times New Roman"/>
          <w:color w:val="auto"/>
          <w:highlight w:val="none"/>
        </w:rPr>
        <w:t>电</w:t>
      </w:r>
      <w:r>
        <w:rPr>
          <w:rFonts w:hint="default" w:ascii="Times New Roman" w:hAnsi="Times New Roman" w:cs="Times New Roman"/>
          <w:color w:val="auto"/>
          <w:highlight w:val="none"/>
          <w:lang w:val="en-US" w:eastAsia="zh-CN"/>
        </w:rPr>
        <w:t>场</w:t>
      </w:r>
      <w:r>
        <w:rPr>
          <w:rFonts w:hint="default" w:ascii="Times New Roman" w:hAnsi="Times New Roman" w:cs="Times New Roman"/>
          <w:color w:val="auto"/>
          <w:highlight w:val="none"/>
        </w:rPr>
        <w:t>站区域及周边宜有步行可达的洗手间、餐饮、休闲娱乐、购物等配套设施</w:t>
      </w:r>
      <w:r>
        <w:rPr>
          <w:rFonts w:hint="default" w:ascii="Times New Roman" w:hAnsi="Times New Roman" w:cs="Times New Roman"/>
          <w:color w:val="auto"/>
          <w:highlight w:val="none"/>
          <w:lang w:eastAsia="zh-CN"/>
        </w:rPr>
        <w:t>；</w:t>
      </w:r>
    </w:p>
    <w:p>
      <w:pPr>
        <w:pStyle w:val="28"/>
        <w:ind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0"/>
          <w:szCs w:val="24"/>
          <w:highlight w:val="none"/>
          <w:lang w:val="en-US" w:eastAsia="zh-CN"/>
        </w:rPr>
        <w:t>d</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充电设备与充电车位、建（构）筑物之间的距离应满足安全、操作及检修的要求。</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bookmarkStart w:id="58" w:name="OLE_LINK9"/>
      <w:r>
        <w:rPr>
          <w:rFonts w:hint="default" w:ascii="Times New Roman" w:hAnsi="Times New Roman" w:cs="Times New Roman"/>
          <w:color w:val="auto"/>
          <w:highlight w:val="none"/>
        </w:rPr>
        <w:t>行车道和</w:t>
      </w:r>
      <w:r>
        <w:rPr>
          <w:rFonts w:hint="default" w:ascii="Times New Roman" w:hAnsi="Times New Roman" w:cs="Times New Roman"/>
          <w:color w:val="auto"/>
          <w:sz w:val="20"/>
          <w:highlight w:val="none"/>
        </w:rPr>
        <w:t>停车位</w:t>
      </w:r>
    </w:p>
    <w:bookmarkEnd w:id="58"/>
    <w:p>
      <w:pPr>
        <w:pStyle w:val="28"/>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充电场站内行车道和停车位的设计和建造应遵循以下原则：</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站内总布置应满足总体规划要求，并应符合站内工艺布置合理、功能分区明确、交通便利、节约用地的原则</w:t>
      </w:r>
      <w:r>
        <w:rPr>
          <w:rFonts w:hint="default" w:ascii="Times New Roman" w:hAnsi="Times New Roman" w:cs="Times New Roman"/>
          <w:color w:val="auto"/>
          <w:highlight w:val="none"/>
          <w:lang w:eastAsia="zh-CN"/>
        </w:rPr>
        <w:t>；</w:t>
      </w:r>
    </w:p>
    <w:p>
      <w:pPr>
        <w:pStyle w:val="28"/>
        <w:rPr>
          <w:rFonts w:hint="default" w:ascii="Times New Roman" w:hAnsi="Times New Roman" w:cs="Times New Roman"/>
          <w:color w:val="auto"/>
          <w:highlight w:val="none"/>
        </w:rPr>
      </w:pPr>
      <w:r>
        <w:rPr>
          <w:rFonts w:hint="default" w:ascii="Times New Roman" w:hAnsi="Times New Roman" w:cs="Times New Roman"/>
          <w:color w:val="auto"/>
          <w:sz w:val="20"/>
          <w:szCs w:val="24"/>
          <w:highlight w:val="none"/>
          <w:lang w:val="en-US" w:eastAsia="zh-CN"/>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站内道路出入口处、拐弯处、行车道、停车位等应有明显的车辆指引标识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 </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充电站内消防车道设置应符合现行国家标准《建筑设计防火规范》GB50016和《汽车库、修车库、停车场设计防火规范》GB50067的有关规定</w:t>
      </w:r>
      <w:r>
        <w:rPr>
          <w:rFonts w:hint="default" w:ascii="Times New Roman" w:hAnsi="Times New Roman" w:cs="Times New Roman"/>
          <w:color w:val="auto"/>
          <w:highlight w:val="none"/>
          <w:lang w:eastAsia="zh-CN"/>
        </w:rPr>
        <w:t>；</w:t>
      </w:r>
    </w:p>
    <w:p>
      <w:pPr>
        <w:pStyle w:val="28"/>
        <w:rPr>
          <w:rFonts w:hint="default" w:ascii="Times New Roman" w:hAnsi="Times New Roman" w:cs="Times New Roman"/>
          <w:color w:val="auto"/>
          <w:highlight w:val="none"/>
          <w:lang w:eastAsia="zh-CN"/>
        </w:rPr>
      </w:pPr>
      <w:r>
        <w:rPr>
          <w:rFonts w:hint="default" w:ascii="Times New Roman" w:hAnsi="Times New Roman" w:cs="Times New Roman"/>
          <w:color w:val="auto"/>
          <w:sz w:val="20"/>
          <w:szCs w:val="24"/>
          <w:highlight w:val="none"/>
          <w:lang w:val="en-US" w:eastAsia="zh-CN"/>
        </w:rPr>
        <w:t>d</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停车位可酌情设置限位器、防撞栏或防撞梁</w:t>
      </w:r>
      <w:r>
        <w:rPr>
          <w:rFonts w:hint="default" w:ascii="Times New Roman" w:hAnsi="Times New Roman" w:cs="Times New Roman"/>
          <w:color w:val="auto"/>
          <w:highlight w:val="none"/>
          <w:lang w:eastAsia="zh-CN"/>
        </w:rPr>
        <w:t>，宜配置车挡或阻车器。</w:t>
      </w:r>
    </w:p>
    <w:p>
      <w:pPr>
        <w:pStyle w:val="28"/>
        <w:rPr>
          <w:rFonts w:hint="default" w:ascii="Times New Roman" w:hAnsi="Times New Roman" w:cs="Times New Roman"/>
          <w:color w:val="auto"/>
          <w:highlight w:val="none"/>
          <w:lang w:eastAsia="zh-CN"/>
        </w:rPr>
      </w:pPr>
      <w:r>
        <w:rPr>
          <w:rFonts w:hint="eastAsia" w:ascii="Times New Roman" w:cs="Times New Roman"/>
          <w:color w:val="auto"/>
          <w:highlight w:val="none"/>
          <w:lang w:val="en-US" w:eastAsia="zh-CN"/>
        </w:rPr>
        <w:t>车位大小</w:t>
      </w:r>
      <w:r>
        <w:rPr>
          <w:rFonts w:hint="default" w:ascii="Times New Roman" w:hAnsi="Times New Roman" w:cs="Times New Roman"/>
          <w:color w:val="auto"/>
          <w:highlight w:val="none"/>
          <w:lang w:eastAsia="zh-CN"/>
        </w:rPr>
        <w:t>W——车位宽度，L——车位长度</w:t>
      </w:r>
      <w:r>
        <w:rPr>
          <w:rFonts w:hint="eastAsia" w:ascii="Times New Roman" w:cs="Times New Roman"/>
          <w:color w:val="auto"/>
          <w:highlight w:val="none"/>
          <w:lang w:eastAsia="zh-CN"/>
        </w:rPr>
        <w:t>（</w:t>
      </w:r>
      <w:r>
        <w:rPr>
          <w:rFonts w:hint="eastAsia" w:ascii="Times New Roman" w:cs="Times New Roman"/>
          <w:color w:val="auto"/>
          <w:highlight w:val="none"/>
          <w:lang w:val="en-US" w:eastAsia="zh-CN"/>
        </w:rPr>
        <w:t>外径</w:t>
      </w:r>
      <w:r>
        <w:rPr>
          <w:rFonts w:hint="eastAsia" w:ascii="Times New Roman" w:cs="Times New Roman"/>
          <w:color w:val="auto"/>
          <w:highlight w:val="none"/>
          <w:lang w:eastAsia="zh-CN"/>
        </w:rPr>
        <w:t>）</w:t>
      </w:r>
      <w:r>
        <w:rPr>
          <w:rFonts w:hint="default" w:ascii="Times New Roman" w:hAnsi="Times New Roman" w:cs="Times New Roman"/>
          <w:color w:val="auto"/>
          <w:highlight w:val="none"/>
          <w:lang w:eastAsia="zh-CN"/>
        </w:rPr>
        <w:t>，具体要求：</w:t>
      </w:r>
    </w:p>
    <w:p>
      <w:pPr>
        <w:pStyle w:val="28"/>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乘用车充电车位：W≥2.5m，L≥5.3m</w:t>
      </w:r>
    </w:p>
    <w:p>
      <w:pPr>
        <w:pStyle w:val="28"/>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轻型商用车车位：W≥3.25m，L≥15.6m</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重型商用车车位：W≥4m，L≥18m</w:t>
      </w:r>
      <w:r>
        <w:rPr>
          <w:rFonts w:hint="eastAsia" w:ascii="Times New Roman" w:cs="Times New Roman"/>
          <w:color w:val="auto"/>
          <w:highlight w:val="none"/>
          <w:lang w:eastAsia="zh-CN"/>
        </w:rPr>
        <w:t>；</w:t>
      </w:r>
    </w:p>
    <w:p>
      <w:pPr>
        <w:pStyle w:val="28"/>
        <w:ind w:firstLine="400"/>
        <w:rPr>
          <w:rFonts w:hint="default" w:ascii="Times New Roman" w:hAnsi="Times New Roman" w:cs="Times New Roman"/>
          <w:color w:val="auto"/>
          <w:highlight w:val="none"/>
        </w:rPr>
      </w:pPr>
      <w:r>
        <w:rPr>
          <w:rFonts w:hint="default" w:ascii="Times New Roman" w:hAnsi="Times New Roman" w:cs="Times New Roman"/>
          <w:color w:val="auto"/>
          <w:sz w:val="20"/>
          <w:szCs w:val="24"/>
          <w:highlight w:val="none"/>
          <w:lang w:val="en-US" w:eastAsia="zh-CN"/>
        </w:rPr>
        <w:t>e</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电动汽车充电时不应妨碍其他车辆的正常通行与停放。</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标识</w:t>
      </w:r>
      <w:r>
        <w:rPr>
          <w:rFonts w:hint="default" w:ascii="Times New Roman" w:hAnsi="Times New Roman" w:cs="Times New Roman"/>
          <w:color w:val="auto"/>
          <w:sz w:val="20"/>
          <w:highlight w:val="none"/>
        </w:rPr>
        <w:t>标牌</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充电操作标识</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内应粘贴充电操作流程说明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以明示充电操作和结算的主要步骤</w:t>
      </w:r>
      <w:r>
        <w:rPr>
          <w:rFonts w:hint="default"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方法等</w:t>
      </w:r>
      <w:r>
        <w:rPr>
          <w:rFonts w:hint="default" w:ascii="Times New Roman" w:hAnsi="Times New Roman" w:cs="Times New Roman"/>
          <w:color w:val="auto"/>
          <w:highlight w:val="none"/>
          <w:lang w:eastAsia="zh-CN"/>
        </w:rPr>
        <w:t>。</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引导标识</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内应粘贴行车引导标识，以明示站点出入，行车前往路线等</w:t>
      </w:r>
      <w:r>
        <w:rPr>
          <w:rFonts w:hint="default" w:ascii="Times New Roman" w:hAnsi="Times New Roman" w:cs="Times New Roman"/>
          <w:color w:val="auto"/>
          <w:highlight w:val="none"/>
          <w:lang w:eastAsia="zh-CN"/>
        </w:rPr>
        <w:t>。</w:t>
      </w:r>
    </w:p>
    <w:p>
      <w:pPr>
        <w:pStyle w:val="33"/>
        <w:keepNext w:val="0"/>
        <w:keepLines w:val="0"/>
        <w:pageBreakBefore w:val="0"/>
        <w:widowControl/>
        <w:numPr>
          <w:ilvl w:val="3"/>
          <w:numId w:val="2"/>
        </w:numPr>
        <w:kinsoku/>
        <w:wordWrap/>
        <w:overflowPunct/>
        <w:topLinePunct w:val="0"/>
        <w:bidi w:val="0"/>
        <w:adjustRightInd/>
        <w:snapToGrid/>
        <w:spacing w:before="0" w:beforeLines="0" w:afterLines="0"/>
        <w:textAlignment w:val="auto"/>
        <w:outlineLvl w:val="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服务标识</w:t>
      </w:r>
    </w:p>
    <w:p>
      <w:pPr>
        <w:pStyle w:val="28"/>
        <w:keepNext w:val="0"/>
        <w:keepLines w:val="0"/>
        <w:pageBreakBefore w:val="0"/>
        <w:widowControl/>
        <w:kinsoku/>
        <w:wordWrap/>
        <w:overflowPunct/>
        <w:topLinePunct w:val="0"/>
        <w:bidi w:val="0"/>
        <w:adjustRightInd/>
        <w:snapToGrid/>
        <w:textAlignment w:val="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内应粘贴充电服务信息，以明示运营商的名称、运营时间、服务项目、收费标准和计算方式、服务热线、求援电话、监督举报电话等</w:t>
      </w:r>
      <w:r>
        <w:rPr>
          <w:rFonts w:hint="default" w:ascii="Times New Roman" w:hAnsi="Times New Roman" w:cs="Times New Roman"/>
          <w:color w:val="auto"/>
          <w:highlight w:val="none"/>
          <w:lang w:eastAsia="zh-CN"/>
        </w:rPr>
        <w:t>。</w:t>
      </w:r>
    </w:p>
    <w:p>
      <w:pPr>
        <w:pStyle w:val="33"/>
        <w:keepNext w:val="0"/>
        <w:keepLines w:val="0"/>
        <w:pageBreakBefore w:val="0"/>
        <w:widowControl/>
        <w:numPr>
          <w:ilvl w:val="3"/>
          <w:numId w:val="2"/>
        </w:numPr>
        <w:kinsoku/>
        <w:wordWrap/>
        <w:overflowPunct/>
        <w:topLinePunct w:val="0"/>
        <w:bidi w:val="0"/>
        <w:adjustRightInd/>
        <w:snapToGrid/>
        <w:spacing w:before="0" w:beforeLines="0"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安全标识</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val="en-US" w:eastAsia="zh-CN"/>
        </w:rPr>
        <w:t>充电场站内应粘贴</w:t>
      </w:r>
      <w:r>
        <w:rPr>
          <w:rFonts w:hint="default" w:ascii="Times New Roman" w:hAnsi="Times New Roman" w:cs="Times New Roman"/>
          <w:color w:val="auto"/>
          <w:highlight w:val="none"/>
        </w:rPr>
        <w:t>安全警示和应急提示，以提醒用户注意充电安全、操作安全等以及发生着火、触电事故下的应急反应处理流程等</w:t>
      </w:r>
      <w:r>
        <w:rPr>
          <w:rFonts w:hint="default" w:ascii="Times New Roman" w:hAnsi="Times New Roman" w:cs="Times New Roman"/>
          <w:color w:val="auto"/>
          <w:highlight w:val="none"/>
          <w:lang w:eastAsia="zh-CN"/>
        </w:rPr>
        <w:t>；</w:t>
      </w:r>
    </w:p>
    <w:p>
      <w:pPr>
        <w:pStyle w:val="28"/>
        <w:keepNext w:val="0"/>
        <w:keepLines w:val="0"/>
        <w:pageBreakBefore w:val="0"/>
        <w:widowControl/>
        <w:kinsoku/>
        <w:wordWrap/>
        <w:overflowPunct/>
        <w:topLinePunct w:val="0"/>
        <w:autoSpaceDE w:val="0"/>
        <w:autoSpaceDN w:val="0"/>
        <w:bidi w:val="0"/>
        <w:adjustRightInd/>
        <w:snapToGrid/>
        <w:ind w:left="0" w:leftChars="0" w:firstLine="400"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sz w:val="20"/>
          <w:szCs w:val="24"/>
          <w:highlight w:val="none"/>
          <w:lang w:val="en-US" w:eastAsia="zh-CN"/>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充电设备</w:t>
      </w:r>
      <w:r>
        <w:rPr>
          <w:rFonts w:hint="default" w:ascii="Times New Roman" w:hAnsi="Times New Roman" w:cs="Times New Roman"/>
          <w:color w:val="auto"/>
          <w:highlight w:val="none"/>
          <w:lang w:val="en-US" w:eastAsia="zh-CN"/>
        </w:rPr>
        <w:t>宜在</w:t>
      </w:r>
      <w:r>
        <w:rPr>
          <w:rFonts w:hint="default" w:ascii="Times New Roman" w:hAnsi="Times New Roman" w:cs="Times New Roman"/>
          <w:color w:val="auto"/>
          <w:highlight w:val="none"/>
        </w:rPr>
        <w:t>醒目位置特别标识“有电危险”，“</w:t>
      </w:r>
      <w:r>
        <w:rPr>
          <w:rFonts w:hint="eastAsia" w:ascii="Times New Roman" w:cs="Times New Roman"/>
          <w:color w:val="auto"/>
          <w:highlight w:val="none"/>
          <w:lang w:val="en-US" w:eastAsia="zh-CN"/>
        </w:rPr>
        <w:t>非专业人员</w:t>
      </w:r>
      <w:r>
        <w:rPr>
          <w:rFonts w:hint="default" w:ascii="Times New Roman" w:hAnsi="Times New Roman" w:cs="Times New Roman"/>
          <w:color w:val="auto"/>
          <w:highlight w:val="none"/>
        </w:rPr>
        <w:t>禁止操作</w:t>
      </w:r>
      <w:r>
        <w:rPr>
          <w:rFonts w:hint="default" w:ascii="Times New Roman" w:hAnsi="Times New Roman" w:cs="Times New Roman"/>
          <w:color w:val="auto"/>
          <w:highlight w:val="none"/>
        </w:rPr>
        <w:t>”警示安全注意项</w:t>
      </w:r>
      <w:r>
        <w:rPr>
          <w:rFonts w:hint="default" w:ascii="Times New Roman" w:hAnsi="Times New Roman" w:cs="Times New Roman"/>
          <w:color w:val="auto"/>
          <w:highlight w:val="none"/>
          <w:lang w:eastAsia="zh-CN"/>
        </w:rPr>
        <w:t>；</w:t>
      </w:r>
    </w:p>
    <w:p>
      <w:pPr>
        <w:pStyle w:val="28"/>
        <w:keepNext w:val="0"/>
        <w:keepLines w:val="0"/>
        <w:pageBreakBefore w:val="0"/>
        <w:widowControl/>
        <w:kinsoku/>
        <w:wordWrap/>
        <w:overflowPunct/>
        <w:topLinePunct w:val="0"/>
        <w:autoSpaceDE w:val="0"/>
        <w:autoSpaceDN w:val="0"/>
        <w:bidi w:val="0"/>
        <w:adjustRightInd/>
        <w:snapToGrid/>
        <w:ind w:left="399" w:leftChars="190" w:firstLine="0" w:firstLineChars="0"/>
        <w:textAlignment w:val="auto"/>
        <w:rPr>
          <w:rFonts w:hint="default" w:ascii="Times New Roman" w:hAnsi="Times New Roman" w:cs="Times New Roman"/>
          <w:color w:val="auto"/>
          <w:highlight w:val="none"/>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室外场所</w:t>
      </w:r>
      <w:r>
        <w:rPr>
          <w:rFonts w:hint="default" w:ascii="Times New Roman" w:hAnsi="Times New Roman" w:cs="Times New Roman"/>
          <w:color w:val="auto"/>
          <w:highlight w:val="none"/>
          <w:lang w:val="en-US" w:eastAsia="zh-CN"/>
        </w:rPr>
        <w:t>宜</w:t>
      </w:r>
      <w:r>
        <w:rPr>
          <w:rFonts w:hint="default" w:ascii="Times New Roman" w:hAnsi="Times New Roman" w:cs="Times New Roman"/>
          <w:color w:val="auto"/>
          <w:highlight w:val="none"/>
        </w:rPr>
        <w:t>标识“雷雨天气禁止操作”警示牌。</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设备铭牌</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设备应有铭牌，铭牌信息包含充电桩型号、制造商名称、额定功率、输出电压、输出电流、生产日期等。</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监控设施</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安防监控</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0" w:firstLineChars="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 xml:space="preserve">    能实现</w:t>
      </w:r>
      <w:r>
        <w:rPr>
          <w:rFonts w:hint="default" w:ascii="Times New Roman" w:hAnsi="Times New Roman" w:eastAsia="宋体" w:cs="Times New Roman"/>
          <w:color w:val="auto"/>
          <w:highlight w:val="none"/>
        </w:rPr>
        <w:t>监控摄像头有效覆盖所有充电车位</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场站</w:t>
      </w:r>
      <w:r>
        <w:rPr>
          <w:rFonts w:hint="default" w:ascii="Times New Roman" w:hAnsi="Times New Roman" w:eastAsia="宋体" w:cs="Times New Roman"/>
          <w:color w:val="auto"/>
          <w:highlight w:val="none"/>
        </w:rPr>
        <w:t>出入口</w:t>
      </w:r>
      <w:r>
        <w:rPr>
          <w:rFonts w:hint="default" w:ascii="Times New Roman" w:hAnsi="Times New Roman" w:eastAsia="宋体" w:cs="Times New Roman"/>
          <w:color w:val="auto"/>
          <w:highlight w:val="none"/>
          <w:lang w:val="en-US" w:eastAsia="zh-CN"/>
        </w:rPr>
        <w:t>等</w:t>
      </w:r>
      <w:r>
        <w:rPr>
          <w:rFonts w:hint="default" w:ascii="Times New Roman" w:hAnsi="Times New Roman" w:eastAsia="宋体" w:cs="Times New Roman"/>
          <w:color w:val="auto"/>
          <w:highlight w:val="none"/>
        </w:rPr>
        <w:t>，运营单位人员能实时监控现场状况</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保障</w:t>
      </w:r>
      <w:r>
        <w:rPr>
          <w:rFonts w:hint="default" w:ascii="Times New Roman" w:hAnsi="Times New Roman" w:eastAsia="宋体" w:cs="Times New Roman"/>
          <w:color w:val="auto"/>
          <w:highlight w:val="none"/>
          <w:lang w:eastAsia="zh-CN"/>
        </w:rPr>
        <w:t>对场站范围内工作人员和用户人身安全、财产安全的监控</w:t>
      </w:r>
      <w:r>
        <w:rPr>
          <w:rFonts w:hint="default" w:ascii="Times New Roman" w:hAnsi="Times New Roman" w:eastAsia="宋体" w:cs="Times New Roman"/>
          <w:color w:val="auto"/>
          <w:highlight w:val="none"/>
        </w:rPr>
        <w:t>。</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供电监控</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能实现对供电设备的供电情况、设备运行状态等信息的监控。</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充电监控</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能实现对充电设施运行和充电过程的监视、控制以及数据的存储和管理。包括对充电设备的在线情况、故障情况、运行数据进行实时监测、可靠性检测、完整性检测等。</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消防监控</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能实现对场站范围内充电设施火灾安全监控，具备火灾监测、火警报警功能。</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型号、配置和数量</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型号配置和数量按照合同以及技术协议等相关文件进行验收。</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技术参数</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检查监控系统产品图纸与实物，按照合同和技术文件进行验收。</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照明设施</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highlight w:val="none"/>
          <w:lang w:val="en-US" w:eastAsia="zh-CN"/>
        </w:rPr>
        <w:t>日常照明设施</w:t>
      </w:r>
      <w:r>
        <w:rPr>
          <w:rFonts w:hint="default" w:ascii="Times New Roman" w:hAnsi="Times New Roman" w:eastAsia="宋体" w:cs="Times New Roman"/>
          <w:color w:val="auto"/>
          <w:highlight w:val="none"/>
        </w:rPr>
        <w:br w:type="textWrapping"/>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具备照明设施，照明条件良好。</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highlight w:val="none"/>
        </w:rPr>
        <w:t>消防应急</w:t>
      </w:r>
      <w:r>
        <w:rPr>
          <w:rFonts w:hint="default" w:ascii="Times New Roman" w:hAnsi="Times New Roman" w:eastAsia="宋体" w:cs="Times New Roman"/>
          <w:b/>
          <w:bCs/>
          <w:color w:val="auto"/>
          <w:highlight w:val="none"/>
          <w:lang w:val="en-US" w:eastAsia="zh-CN"/>
        </w:rPr>
        <w:t>照明设施</w:t>
      </w:r>
      <w:r>
        <w:rPr>
          <w:rFonts w:hint="default" w:ascii="Times New Roman" w:hAnsi="Times New Roman" w:eastAsia="宋体" w:cs="Times New Roman"/>
          <w:color w:val="auto"/>
          <w:highlight w:val="none"/>
        </w:rPr>
        <w:br w:type="textWrapping"/>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应符合GB 17945的有关规定；站内关键区域均设有事故照明。</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b/>
          <w:bCs/>
          <w:color w:val="auto"/>
          <w:highlight w:val="none"/>
        </w:rPr>
      </w:pPr>
      <w:r>
        <w:rPr>
          <w:rFonts w:hint="default" w:ascii="Times New Roman" w:hAnsi="Times New Roman" w:eastAsia="宋体" w:cs="Times New Roman"/>
          <w:b/>
          <w:bCs/>
          <w:color w:val="auto"/>
          <w:highlight w:val="none"/>
          <w:lang w:val="en-US" w:eastAsia="zh-CN"/>
        </w:rPr>
        <w:t>通信网络</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通信网络信号良好（包括电信、移动、联通、自建热点等），能支持手机APP或小程序正常操作。</w:t>
      </w:r>
    </w:p>
    <w:p>
      <w:pPr>
        <w:pStyle w:val="30"/>
        <w:keepNext w:val="0"/>
        <w:keepLines w:val="0"/>
        <w:pageBreakBefore w:val="0"/>
        <w:widowControl/>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运维</w:t>
      </w:r>
    </w:p>
    <w:p>
      <w:pPr>
        <w:pStyle w:val="33"/>
        <w:keepNext w:val="0"/>
        <w:keepLines w:val="0"/>
        <w:pageBreakBefore w:val="0"/>
        <w:widowControl/>
        <w:kinsoku/>
        <w:wordWrap/>
        <w:overflowPunct/>
        <w:topLinePunct w:val="0"/>
        <w:autoSpaceDE/>
        <w:autoSpaceDN/>
        <w:bidi w:val="0"/>
        <w:adjustRightInd/>
        <w:snapToGrid/>
        <w:spacing w:afterLines="0"/>
        <w:ind w:left="0"/>
        <w:textAlignment w:val="auto"/>
        <w:rPr>
          <w:rFonts w:hint="default" w:ascii="Times New Roman" w:hAnsi="Times New Roman" w:cs="Times New Roman"/>
          <w:color w:val="auto"/>
          <w:highlight w:val="none"/>
          <w:lang w:val="en-US" w:eastAsia="zh-CN"/>
        </w:rPr>
      </w:pPr>
      <w:bookmarkStart w:id="59" w:name="OLE_LINK13"/>
      <w:r>
        <w:rPr>
          <w:rFonts w:hint="default" w:ascii="Times New Roman" w:hAnsi="Times New Roman" w:cs="Times New Roman"/>
          <w:color w:val="auto"/>
          <w:highlight w:val="none"/>
          <w:lang w:val="en-US" w:eastAsia="zh-CN"/>
        </w:rPr>
        <w:t>巡查维保</w:t>
      </w:r>
    </w:p>
    <w:bookmarkEnd w:id="59"/>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运营商</w:t>
      </w:r>
      <w:r>
        <w:rPr>
          <w:rFonts w:hint="eastAsia" w:ascii="Times New Roman" w:cs="Times New Roman"/>
          <w:color w:val="auto"/>
          <w:highlight w:val="none"/>
          <w:lang w:val="en-US" w:eastAsia="zh-CN"/>
        </w:rPr>
        <w:t>宜定期</w:t>
      </w:r>
      <w:r>
        <w:rPr>
          <w:rFonts w:hint="default" w:ascii="Times New Roman" w:hAnsi="Times New Roman" w:cs="Times New Roman"/>
          <w:color w:val="auto"/>
          <w:highlight w:val="none"/>
        </w:rPr>
        <w:t>安排巡检，</w:t>
      </w:r>
      <w:r>
        <w:rPr>
          <w:rFonts w:hint="default" w:ascii="Times New Roman" w:hAnsi="Times New Roman" w:cs="Times New Roman"/>
          <w:color w:val="auto"/>
          <w:highlight w:val="none"/>
        </w:rPr>
        <w:t>检查充电枪是否归位，检查</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屏幕是否损坏，若损坏且影响充电启停操作，需确定损坏程度，及时上报故障信息并提出维修申请。</w:t>
      </w:r>
    </w:p>
    <w:p>
      <w:pPr>
        <w:pStyle w:val="33"/>
        <w:keepNext w:val="0"/>
        <w:keepLines w:val="0"/>
        <w:pageBreakBefore w:val="0"/>
        <w:widowControl/>
        <w:kinsoku/>
        <w:wordWrap/>
        <w:overflowPunct/>
        <w:topLinePunct w:val="0"/>
        <w:autoSpaceDE/>
        <w:autoSpaceDN/>
        <w:bidi w:val="0"/>
        <w:adjustRightInd/>
        <w:snapToGrid/>
        <w:spacing w:afterLines="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在线监测</w:t>
      </w:r>
    </w:p>
    <w:p>
      <w:pPr>
        <w:pStyle w:val="28"/>
        <w:ind w:firstLine="420" w:firstLineChars="200"/>
        <w:rPr>
          <w:rFonts w:hint="default" w:ascii="Times New Roman" w:hAnsi="Times New Roman" w:cs="Times New Roman"/>
          <w:color w:val="auto"/>
          <w:highlight w:val="none"/>
        </w:rPr>
      </w:pPr>
      <w:r>
        <w:rPr>
          <w:rFonts w:hint="eastAsia" w:ascii="Times New Roman" w:cs="Times New Roman"/>
          <w:color w:val="auto"/>
          <w:highlight w:val="none"/>
          <w:lang w:val="en-US" w:eastAsia="zh-CN"/>
        </w:rPr>
        <w:t>鼓励运营商</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为单位建立充电设施在线监测系统，运营商可在城市建立监测中心远程监测充电设施健康状态，为智能运维建立数据条件。</w:t>
      </w:r>
    </w:p>
    <w:p>
      <w:pPr>
        <w:pStyle w:val="30"/>
        <w:spacing w:before="156" w:after="156"/>
        <w:outlineLvl w:val="1"/>
        <w:rPr>
          <w:rFonts w:hint="default" w:ascii="Times New Roman" w:hAnsi="Times New Roman" w:cs="Times New Roman"/>
          <w:color w:val="auto"/>
          <w:highlight w:val="none"/>
        </w:rPr>
      </w:pPr>
      <w:bookmarkStart w:id="60" w:name="_Toc5243"/>
      <w:r>
        <w:rPr>
          <w:rFonts w:hint="default" w:ascii="Times New Roman" w:hAnsi="Times New Roman" w:cs="Times New Roman"/>
          <w:color w:val="auto"/>
          <w:highlight w:val="none"/>
        </w:rPr>
        <w:t>土建及配套设施</w:t>
      </w:r>
      <w:bookmarkEnd w:id="60"/>
      <w:r>
        <w:rPr>
          <w:rFonts w:hint="default" w:ascii="Times New Roman" w:hAnsi="Times New Roman" w:cs="Times New Roman"/>
          <w:color w:val="auto"/>
          <w:highlight w:val="none"/>
        </w:rPr>
        <w:tab/>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建筑</w:t>
      </w:r>
      <w:r>
        <w:rPr>
          <w:rFonts w:hint="default" w:ascii="Times New Roman" w:hAnsi="Times New Roman" w:cs="Times New Roman"/>
          <w:color w:val="auto"/>
          <w:sz w:val="20"/>
          <w:highlight w:val="none"/>
        </w:rPr>
        <w:t>工程</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施工单位按照设计要求，对砖石、屋面、地面等工程进行施工，分项工程完工后应通知监理、业主方等单位对其进行预验收，并形成验收文件。</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sz w:val="20"/>
          <w:highlight w:val="none"/>
        </w:rPr>
      </w:pPr>
      <w:r>
        <w:rPr>
          <w:rFonts w:hint="default" w:ascii="Times New Roman" w:hAnsi="Times New Roman" w:cs="Times New Roman"/>
          <w:color w:val="auto"/>
          <w:highlight w:val="none"/>
        </w:rPr>
        <w:t>排水</w:t>
      </w:r>
      <w:r>
        <w:rPr>
          <w:rFonts w:hint="default" w:ascii="Times New Roman" w:hAnsi="Times New Roman" w:cs="Times New Roman"/>
          <w:color w:val="auto"/>
          <w:sz w:val="20"/>
          <w:highlight w:val="none"/>
        </w:rPr>
        <w:t>通风</w:t>
      </w:r>
      <w:r>
        <w:rPr>
          <w:rFonts w:hint="default" w:ascii="Times New Roman" w:hAnsi="Times New Roman" w:cs="Times New Roman"/>
          <w:color w:val="auto"/>
          <w:highlight w:val="none"/>
        </w:rPr>
        <w:tab/>
      </w:r>
    </w:p>
    <w:p>
      <w:pPr>
        <w:pStyle w:val="28"/>
        <w:ind w:firstLine="40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lang w:eastAsia="zh-CN"/>
        </w:rPr>
        <w:t>充电场站</w:t>
      </w:r>
      <w:r>
        <w:rPr>
          <w:rFonts w:hint="default" w:ascii="Times New Roman" w:hAnsi="Times New Roman" w:cs="Times New Roman"/>
          <w:color w:val="auto"/>
          <w:sz w:val="20"/>
          <w:highlight w:val="none"/>
        </w:rPr>
        <w:t>内通风可采用自然通风、强制通风等措施，优先选用自然通风。</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线缆管沟</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电缆不能与油气管道、热力和其他气体</w:t>
      </w:r>
      <w:r>
        <w:rPr>
          <w:rFonts w:hint="default" w:ascii="Times New Roman" w:hAnsi="Times New Roman" w:cs="Times New Roman"/>
          <w:color w:val="auto"/>
          <w:highlight w:val="none"/>
          <w:lang w:val="en-US" w:eastAsia="zh-CN"/>
        </w:rPr>
        <w:t>管道</w:t>
      </w:r>
      <w:r>
        <w:rPr>
          <w:rFonts w:hint="default" w:ascii="Times New Roman" w:hAnsi="Times New Roman" w:cs="Times New Roman"/>
          <w:color w:val="auto"/>
          <w:highlight w:val="none"/>
        </w:rPr>
        <w:t>敷设在同一沟内。站内管道采用管沟敷设，管沟</w:t>
      </w:r>
      <w:r>
        <w:rPr>
          <w:rFonts w:hint="default"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填实，进出建筑物必须采取封堵措施。</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消防系统</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区域应配置专用灭火装置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宜</w:t>
      </w:r>
      <w:r>
        <w:rPr>
          <w:rFonts w:hint="default" w:ascii="Times New Roman" w:hAnsi="Times New Roman" w:cs="Times New Roman"/>
          <w:color w:val="auto"/>
          <w:highlight w:val="none"/>
        </w:rPr>
        <w:t>设置火灾探测和报警装置。并在明显位置标明安全消防提示，提示内容</w:t>
      </w:r>
      <w:r>
        <w:rPr>
          <w:rFonts w:hint="default" w:ascii="Times New Roman" w:hAnsi="Times New Roman" w:cs="Times New Roman"/>
          <w:color w:val="auto"/>
          <w:highlight w:val="none"/>
          <w:lang w:val="en-US" w:eastAsia="zh-CN"/>
        </w:rPr>
        <w:t>宜</w:t>
      </w:r>
      <w:r>
        <w:rPr>
          <w:rFonts w:hint="default" w:ascii="Times New Roman" w:hAnsi="Times New Roman" w:cs="Times New Roman"/>
          <w:color w:val="auto"/>
          <w:highlight w:val="none"/>
        </w:rPr>
        <w:t>包含</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起火或电动车起火情况下，灭火注意事项和灭火装置正确的操作规范。</w:t>
      </w:r>
    </w:p>
    <w:p>
      <w:pPr>
        <w:pStyle w:val="28"/>
        <w:spacing w:before="156" w:after="156"/>
        <w:outlineLvl w:val="1"/>
        <w:rPr>
          <w:rFonts w:hint="default" w:ascii="Times New Roman" w:hAnsi="Times New Roman" w:eastAsia="宋体" w:cs="Times New Roman"/>
          <w:bCs/>
          <w:color w:val="auto"/>
          <w:szCs w:val="20"/>
          <w:highlight w:val="none"/>
        </w:rPr>
      </w:pPr>
      <w:r>
        <w:rPr>
          <w:rFonts w:hint="default" w:ascii="Times New Roman" w:hAnsi="Times New Roman" w:cs="Times New Roman"/>
          <w:color w:val="auto"/>
          <w:highlight w:val="none"/>
        </w:rPr>
        <w:t>应符合GB 50016和GB 50140的有关规定。</w:t>
      </w:r>
      <w:bookmarkStart w:id="61" w:name="_Toc2233"/>
    </w:p>
    <w:p>
      <w:pPr>
        <w:pStyle w:val="30"/>
        <w:spacing w:before="156" w:after="156"/>
        <w:outlineLvl w:val="1"/>
        <w:rPr>
          <w:rFonts w:hint="default" w:ascii="Times New Roman" w:hAnsi="Times New Roman" w:eastAsia="宋体" w:cs="Times New Roman"/>
          <w:b/>
          <w:bCs w:val="0"/>
          <w:color w:val="auto"/>
          <w:szCs w:val="20"/>
          <w:highlight w:val="none"/>
        </w:rPr>
      </w:pPr>
      <w:r>
        <w:rPr>
          <w:rFonts w:hint="default" w:ascii="Times New Roman" w:hAnsi="Times New Roman" w:eastAsia="宋体" w:cs="Times New Roman"/>
          <w:b/>
          <w:bCs w:val="0"/>
          <w:color w:val="auto"/>
          <w:szCs w:val="20"/>
          <w:highlight w:val="none"/>
          <w:lang w:val="en-US" w:eastAsia="zh-CN"/>
        </w:rPr>
        <w:t>设施合规</w:t>
      </w:r>
      <w:bookmarkEnd w:id="61"/>
      <w:r>
        <w:rPr>
          <w:rFonts w:hint="default" w:ascii="Times New Roman" w:hAnsi="Times New Roman" w:eastAsia="宋体" w:cs="Times New Roman"/>
          <w:b/>
          <w:bCs w:val="0"/>
          <w:color w:val="auto"/>
          <w:szCs w:val="20"/>
          <w:highlight w:val="none"/>
        </w:rPr>
        <w:tab/>
      </w:r>
    </w:p>
    <w:p>
      <w:pPr>
        <w:pStyle w:val="33"/>
        <w:keepNext w:val="0"/>
        <w:keepLines w:val="0"/>
        <w:pageBreakBefore w:val="0"/>
        <w:widowControl/>
        <w:kinsoku/>
        <w:wordWrap/>
        <w:overflowPunct/>
        <w:topLinePunct w:val="0"/>
        <w:autoSpaceDE/>
        <w:autoSpaceDN/>
        <w:bidi w:val="0"/>
        <w:adjustRightInd/>
        <w:snapToGrid/>
        <w:spacing w:before="0" w:beforeLines="0" w:afterLines="0"/>
        <w:ind w:left="0"/>
        <w:textAlignment w:val="auto"/>
        <w:outlineLvl w:val="1"/>
        <w:rPr>
          <w:rFonts w:hint="default" w:ascii="Times New Roman" w:hAnsi="Times New Roman" w:eastAsia="宋体" w:cs="Times New Roman"/>
          <w:bCs/>
          <w:color w:val="auto"/>
          <w:szCs w:val="20"/>
          <w:highlight w:val="none"/>
        </w:rPr>
      </w:pPr>
      <w:r>
        <w:rPr>
          <w:rFonts w:hint="default" w:ascii="Times New Roman" w:hAnsi="Times New Roman" w:eastAsia="宋体" w:cs="Times New Roman"/>
          <w:b/>
          <w:bCs w:val="0"/>
          <w:color w:val="auto"/>
          <w:szCs w:val="20"/>
          <w:highlight w:val="none"/>
        </w:rPr>
        <w:t>合规管控</w:t>
      </w:r>
      <w:r>
        <w:rPr>
          <w:rFonts w:hint="default" w:ascii="Times New Roman" w:hAnsi="Times New Roman" w:eastAsia="宋体" w:cs="Times New Roman"/>
          <w:bCs/>
          <w:color w:val="auto"/>
          <w:szCs w:val="20"/>
          <w:highlight w:val="none"/>
        </w:rPr>
        <w:br w:type="textWrapping"/>
      </w:r>
      <w:r>
        <w:rPr>
          <w:rFonts w:hint="default" w:ascii="Times New Roman" w:hAnsi="Times New Roman" w:eastAsia="宋体" w:cs="Times New Roman"/>
          <w:bCs/>
          <w:color w:val="auto"/>
          <w:szCs w:val="20"/>
          <w:highlight w:val="none"/>
          <w:lang w:val="en-US" w:eastAsia="zh-CN"/>
        </w:rPr>
        <w:t xml:space="preserve">    </w:t>
      </w:r>
      <w:r>
        <w:rPr>
          <w:rFonts w:hint="default" w:ascii="Times New Roman" w:hAnsi="Times New Roman" w:eastAsia="宋体" w:cs="Times New Roman"/>
          <w:bCs/>
          <w:color w:val="auto"/>
          <w:szCs w:val="20"/>
          <w:highlight w:val="none"/>
        </w:rPr>
        <w:t>对充电桩进行现场抽检，并检查相关材料，对于电流≤250A的，应提供型式试验报告</w:t>
      </w:r>
      <w:r>
        <w:rPr>
          <w:rFonts w:hint="default" w:ascii="Times New Roman" w:hAnsi="Times New Roman" w:eastAsia="宋体" w:cs="Times New Roman"/>
          <w:bCs/>
          <w:color w:val="auto"/>
          <w:szCs w:val="20"/>
          <w:highlight w:val="none"/>
          <w:lang w:val="en-US" w:eastAsia="zh-CN"/>
        </w:rPr>
        <w:t>。</w:t>
      </w:r>
      <w:r>
        <w:rPr>
          <w:rFonts w:hint="default" w:ascii="Times New Roman" w:hAnsi="Times New Roman" w:eastAsia="宋体" w:cs="Times New Roman"/>
          <w:bCs/>
          <w:color w:val="auto"/>
          <w:szCs w:val="20"/>
          <w:highlight w:val="none"/>
        </w:rPr>
        <w:t>对于电流＞250A的，应提供第三方委托检测报告</w:t>
      </w:r>
      <w:r>
        <w:rPr>
          <w:rFonts w:hint="default" w:ascii="Times New Roman" w:hAnsi="Times New Roman" w:eastAsia="宋体" w:cs="Times New Roman"/>
          <w:bCs/>
          <w:color w:val="auto"/>
          <w:szCs w:val="20"/>
          <w:highlight w:val="none"/>
          <w:lang w:eastAsia="zh-CN"/>
        </w:rPr>
        <w:t>，</w:t>
      </w:r>
      <w:r>
        <w:rPr>
          <w:rFonts w:hint="default" w:ascii="Times New Roman" w:hAnsi="Times New Roman" w:eastAsia="宋体" w:cs="Times New Roman"/>
          <w:bCs/>
          <w:color w:val="auto"/>
          <w:szCs w:val="20"/>
          <w:highlight w:val="none"/>
        </w:rPr>
        <w:t>宜具有第三方认证证书。</w:t>
      </w:r>
    </w:p>
    <w:p>
      <w:pPr>
        <w:pStyle w:val="28"/>
        <w:rPr>
          <w:rFonts w:hint="default" w:ascii="Times New Roman" w:hAnsi="Times New Roman" w:cs="Times New Roman"/>
          <w:color w:val="auto"/>
        </w:rPr>
      </w:pPr>
      <w:r>
        <w:rPr>
          <w:rFonts w:hint="default" w:ascii="Times New Roman" w:hAnsi="Times New Roman" w:cs="Times New Roman"/>
          <w:color w:val="auto"/>
        </w:rPr>
        <w:t>绝缘安规为每站每桩必查</w:t>
      </w:r>
      <w:r>
        <w:rPr>
          <w:rFonts w:hint="default" w:ascii="Times New Roman" w:hAnsi="Times New Roman" w:cs="Times New Roman"/>
          <w:color w:val="auto"/>
          <w:lang w:val="en-US" w:eastAsia="zh-CN"/>
        </w:rPr>
        <w:t>项目</w:t>
      </w:r>
      <w:r>
        <w:rPr>
          <w:rFonts w:hint="default" w:ascii="Times New Roman" w:hAnsi="Times New Roman" w:cs="Times New Roman"/>
          <w:color w:val="auto"/>
        </w:rPr>
        <w:t>，互操作、通信协议为同型号充电桩抽检</w:t>
      </w:r>
      <w:r>
        <w:rPr>
          <w:rFonts w:hint="default" w:ascii="Times New Roman" w:hAnsi="Times New Roman" w:cs="Times New Roman"/>
          <w:color w:val="auto"/>
          <w:lang w:val="en-US" w:eastAsia="zh-CN"/>
        </w:rPr>
        <w:t>项目</w:t>
      </w:r>
      <w:r>
        <w:rPr>
          <w:rFonts w:hint="default" w:ascii="Times New Roman" w:hAnsi="Times New Roman" w:cs="Times New Roman"/>
          <w:color w:val="auto"/>
        </w:rPr>
        <w:t>。</w:t>
      </w:r>
    </w:p>
    <w:p>
      <w:pPr>
        <w:pStyle w:val="33"/>
        <w:keepNext w:val="0"/>
        <w:keepLines w:val="0"/>
        <w:pageBreakBefore w:val="0"/>
        <w:widowControl/>
        <w:kinsoku/>
        <w:wordWrap/>
        <w:overflowPunct/>
        <w:topLinePunct w:val="0"/>
        <w:autoSpaceDE/>
        <w:autoSpaceDN/>
        <w:bidi w:val="0"/>
        <w:adjustRightInd/>
        <w:snapToGrid/>
        <w:spacing w:afterLines="0"/>
        <w:ind w:left="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计量合规</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对充电设施相关物理量的精度要求和重要程度划分的等级，设备准度等级为1</w:t>
      </w:r>
      <w:r>
        <w:rPr>
          <w:rFonts w:hint="default" w:ascii="Times New Roman" w:hAnsi="Times New Roman" w:cs="Times New Roman"/>
          <w:color w:val="auto"/>
          <w:highlight w:val="none"/>
          <w:lang w:eastAsia="zh-CN"/>
        </w:rPr>
        <w:t>。</w:t>
      </w:r>
    </w:p>
    <w:p>
      <w:pPr>
        <w:pStyle w:val="33"/>
        <w:spacing w:before="156" w:after="156"/>
        <w:ind w:left="0"/>
        <w:outlineLvl w:val="1"/>
        <w:rPr>
          <w:rFonts w:hint="default" w:ascii="Times New Roman" w:hAnsi="Times New Roman" w:eastAsia="宋体" w:cs="Times New Roman"/>
          <w:bCs/>
          <w:color w:val="auto"/>
          <w:szCs w:val="20"/>
          <w:highlight w:val="none"/>
        </w:rPr>
      </w:pPr>
      <w:r>
        <w:rPr>
          <w:rFonts w:hint="default" w:ascii="Times New Roman" w:hAnsi="Times New Roman" w:eastAsia="宋体" w:cs="Times New Roman"/>
          <w:b/>
          <w:bCs w:val="0"/>
          <w:color w:val="auto"/>
          <w:szCs w:val="20"/>
          <w:highlight w:val="none"/>
        </w:rPr>
        <w:t>安全性</w:t>
      </w:r>
      <w:r>
        <w:rPr>
          <w:rFonts w:hint="default" w:ascii="Times New Roman" w:hAnsi="Times New Roman" w:eastAsia="宋体" w:cs="Times New Roman"/>
          <w:bCs/>
          <w:color w:val="auto"/>
          <w:szCs w:val="20"/>
          <w:highlight w:val="none"/>
        </w:rPr>
        <w:br w:type="textWrapping"/>
      </w:r>
      <w:r>
        <w:rPr>
          <w:rFonts w:hint="default" w:ascii="Times New Roman" w:hAnsi="Times New Roman" w:eastAsia="宋体" w:cs="Times New Roman"/>
          <w:bCs/>
          <w:color w:val="auto"/>
          <w:szCs w:val="20"/>
          <w:highlight w:val="none"/>
          <w:lang w:val="en-US" w:eastAsia="zh-CN"/>
        </w:rPr>
        <w:t xml:space="preserve">    </w:t>
      </w:r>
      <w:r>
        <w:rPr>
          <w:rFonts w:hint="default" w:ascii="Times New Roman" w:hAnsi="Times New Roman" w:eastAsia="宋体" w:cs="Times New Roman"/>
          <w:bCs/>
          <w:color w:val="auto"/>
          <w:szCs w:val="20"/>
          <w:highlight w:val="none"/>
        </w:rPr>
        <w:t>充电过程中充电桩及其他辅助系统保持可靠的状态，存在问题的充电桩应告知并暂停开放。</w:t>
      </w:r>
    </w:p>
    <w:p>
      <w:pPr>
        <w:pStyle w:val="30"/>
        <w:spacing w:before="156" w:after="156"/>
        <w:outlineLvl w:val="1"/>
        <w:rPr>
          <w:rFonts w:hint="default" w:ascii="Times New Roman" w:hAnsi="Times New Roman" w:eastAsia="宋体" w:cs="Times New Roman"/>
          <w:b/>
          <w:bCs w:val="0"/>
          <w:color w:val="auto"/>
          <w:szCs w:val="20"/>
          <w:highlight w:val="none"/>
        </w:rPr>
      </w:pPr>
      <w:r>
        <w:rPr>
          <w:rFonts w:hint="default" w:ascii="Times New Roman" w:hAnsi="Times New Roman" w:eastAsia="宋体" w:cs="Times New Roman"/>
          <w:b/>
          <w:bCs w:val="0"/>
          <w:color w:val="auto"/>
          <w:szCs w:val="20"/>
          <w:highlight w:val="none"/>
        </w:rPr>
        <w:t>文件资料核查</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项目验收所具备的基本条件</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充电场站应具备项目建设与验收的合法性条件，包括项目建设方的备案文件、营业执照、设计文件和设计变更书（设计有变动的情况下有效）、施工单位的资质证明文件、安装施工过程中主要工序的安装检查记录、现场调试报告、相关设备的产品说明书、型式认证证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出厂检验报告、型式试验报告、现场检测报告、合格证件及安装图纸等技术文件、工程竣工图、验收报告。</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人员信息</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检修</w:t>
      </w:r>
      <w:r>
        <w:rPr>
          <w:rFonts w:hint="default" w:ascii="Times New Roman" w:hAnsi="Times New Roman" w:cs="Times New Roman"/>
          <w:color w:val="auto"/>
          <w:highlight w:val="none"/>
        </w:rPr>
        <w:t>操作人员需具备特种作业操作证（</w:t>
      </w:r>
      <w:r>
        <w:rPr>
          <w:rFonts w:hint="default" w:ascii="Times New Roman" w:hAnsi="Times New Roman" w:cs="Times New Roman"/>
          <w:color w:val="auto"/>
          <w:highlight w:val="none"/>
          <w:lang w:val="en-US" w:eastAsia="zh-CN"/>
        </w:rPr>
        <w:t>如：</w:t>
      </w:r>
      <w:r>
        <w:rPr>
          <w:rFonts w:hint="default" w:ascii="Times New Roman" w:hAnsi="Times New Roman" w:cs="Times New Roman"/>
          <w:color w:val="auto"/>
          <w:highlight w:val="none"/>
        </w:rPr>
        <w:t>电工证</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应对从业人员开展</w:t>
      </w:r>
      <w:r>
        <w:rPr>
          <w:rFonts w:hint="default" w:ascii="Times New Roman" w:hAnsi="Times New Roman" w:eastAsia="宋体" w:cs="Times New Roman"/>
          <w:color w:val="auto"/>
          <w:sz w:val="21"/>
          <w:szCs w:val="20"/>
          <w:highlight w:val="none"/>
        </w:rPr>
        <w:t>安全</w:t>
      </w:r>
      <w:r>
        <w:rPr>
          <w:rFonts w:hint="default" w:ascii="Times New Roman" w:hAnsi="Times New Roman" w:eastAsia="宋体" w:cs="Times New Roman"/>
          <w:color w:val="auto"/>
          <w:sz w:val="21"/>
          <w:szCs w:val="20"/>
          <w:highlight w:val="none"/>
          <w:lang w:val="en-US" w:eastAsia="zh-CN"/>
        </w:rPr>
        <w:t>生产及</w:t>
      </w:r>
      <w:r>
        <w:rPr>
          <w:rFonts w:hint="default" w:ascii="Times New Roman" w:hAnsi="Times New Roman" w:eastAsia="宋体" w:cs="Times New Roman"/>
          <w:color w:val="auto"/>
          <w:sz w:val="21"/>
          <w:szCs w:val="20"/>
          <w:highlight w:val="none"/>
        </w:rPr>
        <w:t>操作培训，</w:t>
      </w:r>
      <w:r>
        <w:rPr>
          <w:rFonts w:hint="default" w:ascii="Times New Roman" w:hAnsi="Times New Roman" w:eastAsia="宋体" w:cs="Times New Roman"/>
          <w:color w:val="auto"/>
          <w:sz w:val="21"/>
          <w:szCs w:val="20"/>
          <w:highlight w:val="none"/>
          <w:lang w:val="en-US" w:eastAsia="zh-CN"/>
        </w:rPr>
        <w:t>并</w:t>
      </w:r>
      <w:r>
        <w:rPr>
          <w:rFonts w:hint="default" w:ascii="Times New Roman" w:hAnsi="Times New Roman" w:eastAsia="宋体" w:cs="Times New Roman"/>
          <w:color w:val="auto"/>
          <w:sz w:val="21"/>
          <w:szCs w:val="20"/>
          <w:highlight w:val="none"/>
        </w:rPr>
        <w:t>记录</w:t>
      </w:r>
      <w:r>
        <w:rPr>
          <w:rFonts w:hint="default" w:ascii="Times New Roman" w:hAnsi="Times New Roman" w:cs="Times New Roman"/>
          <w:color w:val="auto"/>
          <w:highlight w:val="none"/>
        </w:rPr>
        <w:t>。</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制度</w:t>
      </w:r>
      <w:r>
        <w:rPr>
          <w:rFonts w:hint="default" w:ascii="Times New Roman" w:hAnsi="Times New Roman" w:cs="Times New Roman"/>
          <w:color w:val="auto"/>
          <w:highlight w:val="none"/>
          <w:lang w:val="en-US" w:eastAsia="zh-CN"/>
        </w:rPr>
        <w:t>合规</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Cs/>
          <w:color w:val="auto"/>
          <w:szCs w:val="20"/>
          <w:highlight w:val="none"/>
          <w:lang w:val="en-US" w:eastAsia="zh-CN"/>
        </w:rPr>
      </w:pPr>
      <w:r>
        <w:rPr>
          <w:rFonts w:hint="default" w:ascii="Times New Roman" w:hAnsi="Times New Roman" w:eastAsia="宋体" w:cs="Times New Roman"/>
          <w:b/>
          <w:bCs w:val="0"/>
          <w:color w:val="auto"/>
          <w:szCs w:val="20"/>
          <w:highlight w:val="none"/>
          <w:lang w:val="en-US" w:eastAsia="zh-CN"/>
        </w:rPr>
        <w:t>台账管理制度</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w:t>
      </w:r>
      <w:r>
        <w:rPr>
          <w:rFonts w:hint="default" w:ascii="Times New Roman" w:hAnsi="Times New Roman" w:eastAsia="宋体" w:cs="Times New Roman"/>
          <w:bCs/>
          <w:color w:val="auto"/>
          <w:szCs w:val="20"/>
          <w:highlight w:val="none"/>
        </w:rPr>
        <w:t>应建立并实施台账管理制度，内容包括但不限于：</w:t>
      </w:r>
      <w:r>
        <w:rPr>
          <w:rFonts w:hint="default" w:ascii="Times New Roman" w:hAnsi="Times New Roman" w:eastAsia="宋体" w:cs="Times New Roman"/>
          <w:bCs/>
          <w:color w:val="auto"/>
          <w:szCs w:val="20"/>
          <w:highlight w:val="none"/>
        </w:rPr>
        <w:br w:type="textWrapping"/>
      </w:r>
      <w:r>
        <w:rPr>
          <w:rFonts w:hint="default" w:ascii="Times New Roman" w:hAnsi="Times New Roman" w:eastAsia="宋体" w:cs="Times New Roman"/>
          <w:bCs/>
          <w:color w:val="auto"/>
          <w:szCs w:val="20"/>
          <w:highlight w:val="none"/>
        </w:rPr>
        <w:t xml:space="preserve">    a）保存充电设施的技术资料，资料包括但不限于：充电设施图纸、充电设施技术和使用说明书、充电设备检测报告、充电设施工程竣工（交接）验收报告、故障和缺陷记录</w:t>
      </w:r>
      <w:r>
        <w:rPr>
          <w:rFonts w:hint="default" w:ascii="Times New Roman" w:hAnsi="Times New Roman" w:eastAsia="宋体" w:cs="Times New Roman"/>
          <w:bCs/>
          <w:color w:val="auto"/>
          <w:szCs w:val="20"/>
          <w:highlight w:val="none"/>
          <w:lang w:eastAsia="zh-CN"/>
        </w:rPr>
        <w:t>；</w:t>
      </w:r>
      <w:r>
        <w:rPr>
          <w:rFonts w:hint="default" w:ascii="Times New Roman" w:hAnsi="Times New Roman" w:eastAsia="宋体" w:cs="Times New Roman"/>
          <w:bCs/>
          <w:color w:val="auto"/>
          <w:szCs w:val="20"/>
          <w:highlight w:val="none"/>
        </w:rPr>
        <w:br w:type="textWrapping"/>
      </w:r>
      <w:r>
        <w:rPr>
          <w:rFonts w:hint="default" w:ascii="Times New Roman" w:hAnsi="Times New Roman" w:eastAsia="宋体" w:cs="Times New Roman"/>
          <w:bCs/>
          <w:color w:val="auto"/>
          <w:szCs w:val="20"/>
          <w:highlight w:val="none"/>
        </w:rPr>
        <w:t xml:space="preserve">    b）建立充电设备和辅助设备台账。</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Cs/>
          <w:color w:val="auto"/>
          <w:szCs w:val="20"/>
          <w:highlight w:val="none"/>
          <w:lang w:val="en-US" w:eastAsia="zh-CN"/>
        </w:rPr>
      </w:pPr>
      <w:r>
        <w:rPr>
          <w:rFonts w:hint="default" w:ascii="Times New Roman" w:hAnsi="Times New Roman" w:eastAsia="宋体" w:cs="Times New Roman"/>
          <w:b/>
          <w:bCs w:val="0"/>
          <w:color w:val="auto"/>
          <w:szCs w:val="20"/>
          <w:highlight w:val="none"/>
          <w:lang w:val="en-US" w:eastAsia="zh-CN"/>
        </w:rPr>
        <w:t>应急管理制度</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应建立并实施应急管理制度，内容包括但不限于：</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a）制定突发事件（如火灾、车辆故障、电池破损燃烧爆炸、供电系统故障、人员触电、电池故障、设备故障等）应急预案，设置应急组织；</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b）应急设备应在指定场所存放，专人负责，并定期检查所需物资有效性；</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c）应每年至少进行1次充电场站现场处置方案演练且有记录。</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Cs/>
          <w:color w:val="auto"/>
          <w:szCs w:val="20"/>
          <w:highlight w:val="none"/>
          <w:lang w:val="en-US" w:eastAsia="zh-CN"/>
        </w:rPr>
      </w:pPr>
      <w:r>
        <w:rPr>
          <w:rFonts w:hint="default" w:ascii="Times New Roman" w:hAnsi="Times New Roman" w:eastAsia="宋体" w:cs="Times New Roman"/>
          <w:b/>
          <w:bCs w:val="0"/>
          <w:color w:val="auto"/>
          <w:szCs w:val="20"/>
          <w:highlight w:val="none"/>
          <w:lang w:val="en-US" w:eastAsia="zh-CN"/>
        </w:rPr>
        <w:t>设施设备维护保养制度</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应建立并实施设施设备维护保养制度，内容包括但不限于：</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a）定期开展维护保养工作，维护保养工作应不少于每年2次；</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b）维护保养内容应包括但不限于：高低压巡检保养、充电桩内部除尘、元器件检查、钥匙管理、功能性测试；</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c）有相应的设施设备维护保养内容和记录。</w:t>
      </w:r>
    </w:p>
    <w:p>
      <w:pPr>
        <w:pStyle w:val="30"/>
        <w:spacing w:before="156" w:after="156"/>
        <w:outlineLvl w:val="1"/>
        <w:rPr>
          <w:rFonts w:hint="default" w:ascii="Times New Roman" w:hAnsi="Times New Roman" w:cs="Times New Roman"/>
          <w:color w:val="auto"/>
          <w:highlight w:val="none"/>
        </w:rPr>
      </w:pPr>
      <w:bookmarkStart w:id="62" w:name="_Toc10346"/>
      <w:r>
        <w:rPr>
          <w:rFonts w:hint="default" w:ascii="Times New Roman" w:hAnsi="Times New Roman" w:cs="Times New Roman"/>
          <w:color w:val="auto"/>
          <w:highlight w:val="none"/>
        </w:rPr>
        <w:t>其他项目</w:t>
      </w:r>
      <w:bookmarkEnd w:id="62"/>
    </w:p>
    <w:p>
      <w:pPr>
        <w:pStyle w:val="33"/>
        <w:keepNext w:val="0"/>
        <w:keepLines w:val="0"/>
        <w:pageBreakBefore w:val="0"/>
        <w:widowControl/>
        <w:kinsoku/>
        <w:wordWrap/>
        <w:overflowPunct/>
        <w:topLinePunct w:val="0"/>
        <w:autoSpaceDE/>
        <w:autoSpaceDN/>
        <w:bidi w:val="0"/>
        <w:adjustRightInd/>
        <w:snapToGrid/>
        <w:spacing w:before="157" w:beforeLines="50"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消防灭火器</w:t>
      </w:r>
    </w:p>
    <w:p>
      <w:pPr>
        <w:pStyle w:val="28"/>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灭火器的配置设计应按照A类</w:t>
      </w:r>
      <w:r>
        <w:rPr>
          <w:rFonts w:hint="default" w:ascii="Times New Roman" w:hAnsi="Times New Roman" w:cs="Times New Roman"/>
          <w:color w:val="auto"/>
          <w:highlight w:val="none"/>
          <w:lang w:val="en-US" w:eastAsia="zh-CN"/>
        </w:rPr>
        <w:t>和E类火灾</w:t>
      </w:r>
      <w:r>
        <w:rPr>
          <w:rFonts w:hint="default" w:ascii="Times New Roman" w:hAnsi="Times New Roman" w:cs="Times New Roman"/>
          <w:color w:val="auto"/>
          <w:highlight w:val="none"/>
        </w:rPr>
        <w:t>场所进行灭火器配备。电缆的防火设计应采取防止电缆火灾蔓延的阻燃及分隔措施。</w:t>
      </w:r>
    </w:p>
    <w:p>
      <w:pPr>
        <w:pStyle w:val="33"/>
        <w:keepNext w:val="0"/>
        <w:keepLines w:val="0"/>
        <w:pageBreakBefore w:val="0"/>
        <w:widowControl/>
        <w:kinsoku/>
        <w:wordWrap/>
        <w:overflowPunct/>
        <w:topLinePunct w:val="0"/>
        <w:bidi w:val="0"/>
        <w:adjustRightInd/>
        <w:snapToGrid/>
        <w:spacing w:before="157" w:beforeLines="50"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防水防尘</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设置在室外的充电设备外壳防护等级要求必须</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IP54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宜</w:t>
      </w:r>
      <w:r>
        <w:rPr>
          <w:rFonts w:hint="default" w:ascii="Times New Roman" w:hAnsi="Times New Roman" w:cs="Times New Roman"/>
          <w:color w:val="auto"/>
          <w:highlight w:val="none"/>
        </w:rPr>
        <w:t>设置防雨罩</w:t>
      </w:r>
      <w:r>
        <w:rPr>
          <w:rFonts w:hint="eastAsia" w:ascii="Times New Roman" w:cs="Times New Roman"/>
          <w:color w:val="auto"/>
          <w:highlight w:val="none"/>
          <w:lang w:eastAsia="zh-CN"/>
        </w:rPr>
        <w:t>、</w:t>
      </w:r>
      <w:r>
        <w:rPr>
          <w:rFonts w:hint="default" w:ascii="Times New Roman" w:hAnsi="Times New Roman" w:cs="Times New Roman"/>
          <w:color w:val="auto"/>
          <w:highlight w:val="none"/>
        </w:rPr>
        <w:t>雨棚等遮雨措施。</w:t>
      </w:r>
    </w:p>
    <w:p>
      <w:pPr>
        <w:pStyle w:val="28"/>
        <w:rPr>
          <w:rFonts w:hint="default" w:ascii="Times New Roman" w:hAnsi="Times New Roman" w:cs="Times New Roman"/>
          <w:bCs/>
          <w:color w:val="auto"/>
          <w:highlight w:val="none"/>
          <w:lang w:val="en-US" w:eastAsia="zh-CN"/>
        </w:rPr>
      </w:pPr>
    </w:p>
    <w:p>
      <w:pPr>
        <w:pStyle w:val="28"/>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margin">
                  <wp:posOffset>1856105</wp:posOffset>
                </wp:positionH>
                <wp:positionV relativeFrom="paragraph">
                  <wp:posOffset>114935</wp:posOffset>
                </wp:positionV>
                <wp:extent cx="152781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15278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6.15pt;margin-top:9.05pt;height:0pt;width:120.3pt;mso-position-horizontal-relative:margin;z-index:251663360;mso-width-relative:page;mso-height-relative:page;" filled="f" stroked="t" coordsize="21600,21600" o:gfxdata="UEsDBAoAAAAAAIdO4kAAAAAAAAAAAAAAAAAEAAAAZHJzL1BLAwQUAAAACACHTuJAu2c1eNUAAAAJ&#10;AQAADwAAAGRycy9kb3ducmV2LnhtbE2PwU7DMAyG70i8Q2Qkbixtx1Bbmk5iEpfdKBNw9JrQViRO&#10;1WTd+vYYcYCj/f/6/LnaXpwVs5nC4ElBukpAGGq9HqhTcHh9vstBhIik0XoyChYTYFtfX1VYan+m&#10;FzM3sRMMoVCigj7GsZQytL1xGFZ+NMTZp58cRh6nTuoJzwx3VmZJ8iAdDsQXehzNrjftV3NyTNm8&#10;5097zA/LYpuP4n73tp/JKXV7kyaPIKK5xL8y/OizOtTsdPQn0kFYBVmRrbnKQZ6C4MJmnRUgjr8L&#10;WVfy/wf1N1BLAwQUAAAACACHTuJAnJd2YNcBAACbAwAADgAAAGRycy9lMm9Eb2MueG1srVPNbhMx&#10;EL4j8Q6W72Q3UQtllU0PjcoFQSTgASZee9eS/+Rxs8lL8AJI3ODEkTtvQ3kMxs42hXLpgRyc8czn&#10;b/x9nl1e7q1hOxlRe9fy+azmTDrhO+36ln94f/3sgjNM4Dow3smWHyTyy9XTJ8sxNHLhB286GRmR&#10;OGzG0PIhpdBUFYpBWsCZD9JRUfloIdE29lUXYSR2a6pFXT+vRh+7EL2QiJRdH4t8YoyPIfRKaSHX&#10;XtxY6dKRNUoDiSThoAPyVbmtUlKkt0qhTMy0nJSmslITird5rVZLaPoIYdBiugI85goPNFnQjpqe&#10;qNaQgN1E/Q+V1SJ69CrNhLfVUUhxhFTM6wfevBsgyKKFrMZwMh3/H614s9tEpruWn3HmwNKD3376&#10;/vPjl18/PtN6++0rO8smjQEbwl65TZx2GDYxK96raPM/aWH7YuzhZKzcJyYoOT9fvLiYk+firlbd&#10;HwwR0yvpLctBy412WTM0sHuNiZoR9A6S085fa2PKuxnHRiJ/WZ9naqBhVDQEFNpAgtD1nIHpacpF&#10;ioUSvdFdPp6JMPbbKxPZDvJslF9WSu3+guXea8DhiCulCWYcobMxRytytPXdoThU8vRmhW+arzwU&#10;f+7L6ftva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2c1eNUAAAAJAQAADwAAAAAAAAABACAA&#10;AAAiAAAAZHJzL2Rvd25yZXYueG1sUEsBAhQAFAAAAAgAh07iQJyXdmDXAQAAmwMAAA4AAAAAAAAA&#10;AQAgAAAAJAEAAGRycy9lMm9Eb2MueG1sUEsFBgAAAAAGAAYAWQEAAG0FAAAAAA==&#10;">
                <v:fill on="f" focussize="0,0"/>
                <v:stroke weight="1.5pt" color="#000000 [3213]" joinstyle="round"/>
                <v:imagedata o:title=""/>
                <o:lock v:ext="edit" aspectratio="f"/>
              </v:line>
            </w:pict>
          </mc:Fallback>
        </mc:AlternateContent>
      </w:r>
    </w:p>
    <w:p>
      <w:pPr>
        <w:pStyle w:val="28"/>
        <w:ind w:firstLine="0" w:firstLineChars="0"/>
        <w:rPr>
          <w:rFonts w:hint="default" w:ascii="Times New Roman" w:hAnsi="Times New Roman" w:cs="Times New Roman"/>
          <w:color w:val="auto"/>
          <w:highlight w:val="none"/>
        </w:rPr>
      </w:pPr>
    </w:p>
    <w:bookmarkEnd w:id="65"/>
    <w:sectPr>
      <w:footerReference r:id="rId10" w:type="first"/>
      <w:headerReference r:id="rId7" w:type="default"/>
      <w:footerReference r:id="rId8" w:type="default"/>
      <w:footerReference r:id="rId9" w:type="even"/>
      <w:pgSz w:w="11906" w:h="16838"/>
      <w:pgMar w:top="1440" w:right="1800" w:bottom="1440" w:left="1800" w:header="850" w:footer="99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603050405020304"/>
    <w:charset w:val="00"/>
    <w:family w:val="auto"/>
    <w:pitch w:val="default"/>
    <w:sig w:usb0="00000000" w:usb1="00000000" w:usb2="00000009" w:usb3="00000000" w:csb0="400001FF" w:csb1="FF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heme="minorEastAsia" w:hAnsiTheme="minor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cs="Times New Roman" w:asciiTheme="minorEastAsia" w:hAnsiTheme="minorEastAsia"/>
                            </w:rPr>
                            <w:fldChar w:fldCharType="begin"/>
                          </w:r>
                          <w:r>
                            <w:rPr>
                              <w:rFonts w:cs="Times New Roman" w:asciiTheme="minorEastAsia" w:hAnsiTheme="minorEastAsia"/>
                            </w:rPr>
                            <w:instrText xml:space="preserve"> PAGE   \* MERGEFORMAT </w:instrText>
                          </w:r>
                          <w:r>
                            <w:rPr>
                              <w:rFonts w:cs="Times New Roman" w:asciiTheme="minorEastAsia" w:hAnsiTheme="minorEastAsia"/>
                            </w:rPr>
                            <w:fldChar w:fldCharType="separate"/>
                          </w:r>
                          <w:r>
                            <w:rPr>
                              <w:rFonts w:cs="Times New Roman" w:asciiTheme="minorEastAsia" w:hAnsiTheme="minorEastAsia"/>
                              <w:lang w:val="zh-CN"/>
                            </w:rPr>
                            <w:t>5</w:t>
                          </w:r>
                          <w:r>
                            <w:rPr>
                              <w:rFonts w:cs="Times New Roman" w:ascii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jc w:val="right"/>
                    </w:pPr>
                    <w:r>
                      <w:rPr>
                        <w:rFonts w:cs="Times New Roman" w:asciiTheme="minorEastAsia" w:hAnsiTheme="minorEastAsia"/>
                      </w:rPr>
                      <w:fldChar w:fldCharType="begin"/>
                    </w:r>
                    <w:r>
                      <w:rPr>
                        <w:rFonts w:cs="Times New Roman" w:asciiTheme="minorEastAsia" w:hAnsiTheme="minorEastAsia"/>
                      </w:rPr>
                      <w:instrText xml:space="preserve"> PAGE   \* MERGEFORMAT </w:instrText>
                    </w:r>
                    <w:r>
                      <w:rPr>
                        <w:rFonts w:cs="Times New Roman" w:asciiTheme="minorEastAsia" w:hAnsiTheme="minorEastAsia"/>
                      </w:rPr>
                      <w:fldChar w:fldCharType="separate"/>
                    </w:r>
                    <w:r>
                      <w:rPr>
                        <w:rFonts w:cs="Times New Roman" w:asciiTheme="minorEastAsia" w:hAnsiTheme="minorEastAsia"/>
                        <w:lang w:val="zh-CN"/>
                      </w:rPr>
                      <w:t>5</w:t>
                    </w:r>
                    <w:r>
                      <w:rPr>
                        <w:rFonts w:cs="Times New Roman" w:asciiTheme="minorEastAsia" w:hAnsiTheme="minor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4"/>
                      <w:jc w:val="right"/>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txbxContent>
              </v:textbox>
            </v:shape>
          </w:pict>
        </mc:Fallback>
      </mc:AlternateContent>
    </w:r>
  </w:p>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heme="minorEastAsia" w:hAnsiTheme="minor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cs="Times New Roman" w:asciiTheme="minorEastAsia" w:hAnsiTheme="minorEastAsia"/>
                            </w:rPr>
                            <w:fldChar w:fldCharType="begin"/>
                          </w:r>
                          <w:r>
                            <w:rPr>
                              <w:rFonts w:cs="Times New Roman" w:asciiTheme="minorEastAsia" w:hAnsiTheme="minorEastAsia"/>
                            </w:rPr>
                            <w:instrText xml:space="preserve"> PAGE   \* MERGEFORMAT </w:instrText>
                          </w:r>
                          <w:r>
                            <w:rPr>
                              <w:rFonts w:cs="Times New Roman" w:asciiTheme="minorEastAsia" w:hAnsiTheme="minorEastAsia"/>
                            </w:rPr>
                            <w:fldChar w:fldCharType="separate"/>
                          </w:r>
                          <w:r>
                            <w:rPr>
                              <w:rFonts w:cs="Times New Roman" w:asciiTheme="minorEastAsia" w:hAnsiTheme="minorEastAsia"/>
                              <w:lang w:val="zh-CN"/>
                            </w:rPr>
                            <w:t>5</w:t>
                          </w:r>
                          <w:r>
                            <w:rPr>
                              <w:rFonts w:cs="Times New Roman" w:ascii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4"/>
                      <w:jc w:val="right"/>
                    </w:pPr>
                    <w:r>
                      <w:rPr>
                        <w:rFonts w:cs="Times New Roman" w:asciiTheme="minorEastAsia" w:hAnsiTheme="minorEastAsia"/>
                      </w:rPr>
                      <w:fldChar w:fldCharType="begin"/>
                    </w:r>
                    <w:r>
                      <w:rPr>
                        <w:rFonts w:cs="Times New Roman" w:asciiTheme="minorEastAsia" w:hAnsiTheme="minorEastAsia"/>
                      </w:rPr>
                      <w:instrText xml:space="preserve"> PAGE   \* MERGEFORMAT </w:instrText>
                    </w:r>
                    <w:r>
                      <w:rPr>
                        <w:rFonts w:cs="Times New Roman" w:asciiTheme="minorEastAsia" w:hAnsiTheme="minorEastAsia"/>
                      </w:rPr>
                      <w:fldChar w:fldCharType="separate"/>
                    </w:r>
                    <w:r>
                      <w:rPr>
                        <w:rFonts w:cs="Times New Roman" w:asciiTheme="minorEastAsia" w:hAnsiTheme="minorEastAsia"/>
                        <w:lang w:val="zh-CN"/>
                      </w:rPr>
                      <w:t>5</w:t>
                    </w:r>
                    <w:r>
                      <w:rPr>
                        <w:rFonts w:cs="Times New Roman" w:asciiTheme="minorEastAsia" w:hAnsiTheme="minor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Theme="minorEastAsia" w:hAnsiTheme="minorEastAsia"/>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4</w:t>
                          </w:r>
                          <w:r>
                            <w:rPr>
                              <w:rFonts w:ascii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4</w:t>
                    </w:r>
                    <w:r>
                      <w:rPr>
                        <w:rFonts w:asciiTheme="minorEastAsia" w:hAnsiTheme="minor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4"/>
                      <w:jc w:val="right"/>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txbxContent>
              </v:textbox>
            </v:shape>
          </w:pict>
        </mc:Fallback>
      </mc:AlternateContent>
    </w:r>
  </w:p>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T/CAAMTB 193.2—</w:t>
    </w:r>
  </w:p>
  <w:p>
    <w:pPr>
      <w:pStyle w:val="15"/>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bookmarkStart w:id="63" w:name="OLE_LINK3"/>
    <w:r>
      <w:rPr>
        <w:rFonts w:hint="eastAsia"/>
      </w:rPr>
      <w:t>T</w:t>
    </w:r>
    <w:r>
      <w:t>/</w:t>
    </w:r>
    <w:r>
      <w:rPr>
        <w:rFonts w:hint="eastAsia"/>
      </w:rPr>
      <w:t>CAAMTB</w:t>
    </w:r>
    <w:r>
      <w:t xml:space="preserve"> </w:t>
    </w:r>
    <w:r>
      <w:rPr>
        <w:rFonts w:hint="eastAsia"/>
        <w:lang w:val="en-US" w:eastAsia="zh-CN"/>
      </w:rPr>
      <w:t>193.2</w:t>
    </w:r>
    <w:r>
      <w:t>—</w:t>
    </w:r>
    <w:bookmarkEnd w:id="63"/>
  </w:p>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bookmarkStart w:id="64" w:name="OLE_LINK32"/>
    <w:r>
      <w:rPr>
        <w:rFonts w:hint="eastAsia"/>
      </w:rPr>
      <w:t>T</w:t>
    </w:r>
    <w:r>
      <w:t>/</w:t>
    </w:r>
    <w:r>
      <w:rPr>
        <w:rFonts w:hint="eastAsia"/>
      </w:rPr>
      <w:t>CAAMTB</w:t>
    </w:r>
    <w:r>
      <w:t xml:space="preserve"> </w:t>
    </w:r>
    <w:r>
      <w:rPr>
        <w:rFonts w:hint="eastAsia"/>
        <w:lang w:val="en-US" w:eastAsia="zh-CN"/>
      </w:rPr>
      <w:t>193.2</w:t>
    </w:r>
    <w:r>
      <w:t>—</w:t>
    </w:r>
  </w:p>
  <w:bookmarkEnd w:id="64"/>
  <w:p>
    <w:pPr>
      <w:pStyle w:val="15"/>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suff w:val="nothing"/>
      <w:lvlText w:val="注%1："/>
      <w:lvlJc w:val="left"/>
      <w:pPr>
        <w:ind w:left="811" w:hanging="448"/>
      </w:pPr>
      <w:rPr>
        <w:rFonts w:hint="eastAsia" w:ascii="黑体" w:eastAsia="黑体"/>
        <w:b w:val="0"/>
        <w:i w:val="0"/>
        <w:sz w:val="18"/>
        <w:lang w:val="en-US"/>
      </w:rPr>
    </w:lvl>
    <w:lvl w:ilvl="1" w:tentative="0">
      <w:start w:val="1"/>
      <w:numFmt w:val="lowerLetter"/>
      <w:pStyle w:val="103"/>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
    <w:nsid w:val="1DBF583A"/>
    <w:multiLevelType w:val="multilevel"/>
    <w:tmpl w:val="1DBF583A"/>
    <w:lvl w:ilvl="0" w:tentative="0">
      <w:start w:val="1"/>
      <w:numFmt w:val="decimal"/>
      <w:pStyle w:val="9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0"/>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vertAlign w:val="baseline"/>
      </w:rPr>
    </w:lvl>
    <w:lvl w:ilvl="2" w:tentative="0">
      <w:start w:val="1"/>
      <w:numFmt w:val="decimal"/>
      <w:pStyle w:val="33"/>
      <w:suff w:val="nothing"/>
      <w:lvlText w:val="%1.%2.%3　"/>
      <w:lvlJc w:val="left"/>
      <w:pPr>
        <w:ind w:left="184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pStyle w:val="3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tentative="0">
      <w:start w:val="1"/>
      <w:numFmt w:val="upperLetter"/>
      <w:pStyle w:val="64"/>
      <w:suff w:val="space"/>
      <w:lvlText w:val="%1"/>
      <w:lvlJc w:val="left"/>
      <w:pPr>
        <w:ind w:left="623" w:hanging="425"/>
      </w:pPr>
      <w:rPr>
        <w:rFonts w:hint="eastAsia"/>
      </w:rPr>
    </w:lvl>
    <w:lvl w:ilvl="1" w:tentative="0">
      <w:start w:val="1"/>
      <w:numFmt w:val="decimal"/>
      <w:pStyle w:val="65"/>
      <w:suff w:val="nothing"/>
      <w:lvlText w:val="图%1.%2　"/>
      <w:lvlJc w:val="left"/>
      <w:pPr>
        <w:ind w:left="1190" w:hanging="567"/>
      </w:pPr>
      <w:rPr>
        <w:rFonts w:hint="eastAsia"/>
        <w:color w:val="auto"/>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5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1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B733A5F"/>
    <w:multiLevelType w:val="multilevel"/>
    <w:tmpl w:val="4B733A5F"/>
    <w:lvl w:ilvl="0" w:tentative="0">
      <w:start w:val="1"/>
      <w:numFmt w:val="decimal"/>
      <w:pStyle w:val="9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5F836254"/>
    <w:multiLevelType w:val="multilevel"/>
    <w:tmpl w:val="5F83625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57"/>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0">
    <w:nsid w:val="60B55DC2"/>
    <w:multiLevelType w:val="multilevel"/>
    <w:tmpl w:val="60B55DC2"/>
    <w:lvl w:ilvl="0" w:tentative="0">
      <w:start w:val="1"/>
      <w:numFmt w:val="upperLetter"/>
      <w:pStyle w:val="59"/>
      <w:lvlText w:val="%1"/>
      <w:lvlJc w:val="left"/>
      <w:pPr>
        <w:tabs>
          <w:tab w:val="left" w:pos="0"/>
        </w:tabs>
        <w:ind w:left="0" w:hanging="425"/>
      </w:pPr>
      <w:rPr>
        <w:rFonts w:hint="eastAsia"/>
      </w:rPr>
    </w:lvl>
    <w:lvl w:ilvl="1" w:tentative="0">
      <w:start w:val="1"/>
      <w:numFmt w:val="decimal"/>
      <w:pStyle w:val="6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6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5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7"/>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68"/>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pStyle w:val="6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A47C2C7"/>
    <w:multiLevelType w:val="singleLevel"/>
    <w:tmpl w:val="6A47C2C7"/>
    <w:lvl w:ilvl="0" w:tentative="0">
      <w:start w:val="1"/>
      <w:numFmt w:val="lowerLetter"/>
      <w:lvlText w:val="%1)"/>
      <w:lvlJc w:val="left"/>
      <w:pPr>
        <w:tabs>
          <w:tab w:val="left" w:pos="102"/>
        </w:tabs>
        <w:ind w:left="0" w:leftChars="0" w:firstLine="40" w:firstLineChars="0"/>
      </w:pPr>
      <w:rPr>
        <w:rFonts w:hint="default" w:ascii="Times New Roman" w:hAnsi="Times New Roman" w:eastAsia="宋体" w:cs="宋体"/>
      </w:rPr>
    </w:lvl>
  </w:abstractNum>
  <w:num w:numId="1">
    <w:abstractNumId w:val="6"/>
  </w:num>
  <w:num w:numId="2">
    <w:abstractNumId w:val="3"/>
  </w:num>
  <w:num w:numId="3">
    <w:abstractNumId w:val="5"/>
  </w:num>
  <w:num w:numId="4">
    <w:abstractNumId w:val="1"/>
  </w:num>
  <w:num w:numId="5">
    <w:abstractNumId w:val="7"/>
  </w:num>
  <w:num w:numId="6">
    <w:abstractNumId w:val="9"/>
  </w:num>
  <w:num w:numId="7">
    <w:abstractNumId w:val="12"/>
  </w:num>
  <w:num w:numId="8">
    <w:abstractNumId w:val="10"/>
  </w:num>
  <w:num w:numId="9">
    <w:abstractNumId w:val="4"/>
  </w:num>
  <w:num w:numId="10">
    <w:abstractNumId w:val="11"/>
  </w:num>
  <w:num w:numId="11">
    <w:abstractNumId w:val="8"/>
  </w:num>
  <w:num w:numId="12">
    <w:abstractNumId w:val="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21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4323"/>
    <w:rsid w:val="00091B58"/>
    <w:rsid w:val="00102565"/>
    <w:rsid w:val="001042DF"/>
    <w:rsid w:val="00107C6E"/>
    <w:rsid w:val="00112D6D"/>
    <w:rsid w:val="001156ED"/>
    <w:rsid w:val="0013000C"/>
    <w:rsid w:val="001307D8"/>
    <w:rsid w:val="001374A9"/>
    <w:rsid w:val="0016064C"/>
    <w:rsid w:val="001A7B7E"/>
    <w:rsid w:val="001B3796"/>
    <w:rsid w:val="001D3ECA"/>
    <w:rsid w:val="001E34EA"/>
    <w:rsid w:val="00203578"/>
    <w:rsid w:val="0024785F"/>
    <w:rsid w:val="00260C79"/>
    <w:rsid w:val="002705A0"/>
    <w:rsid w:val="002A5D5D"/>
    <w:rsid w:val="002C1BA6"/>
    <w:rsid w:val="002C4DB3"/>
    <w:rsid w:val="002C5639"/>
    <w:rsid w:val="002D6B09"/>
    <w:rsid w:val="00312895"/>
    <w:rsid w:val="00323D6D"/>
    <w:rsid w:val="00335204"/>
    <w:rsid w:val="003B75C1"/>
    <w:rsid w:val="00403388"/>
    <w:rsid w:val="004509F2"/>
    <w:rsid w:val="00466AE7"/>
    <w:rsid w:val="00471022"/>
    <w:rsid w:val="004B3B4E"/>
    <w:rsid w:val="004B6FA3"/>
    <w:rsid w:val="004C0B41"/>
    <w:rsid w:val="004C429E"/>
    <w:rsid w:val="004F0306"/>
    <w:rsid w:val="0052431C"/>
    <w:rsid w:val="00524477"/>
    <w:rsid w:val="005757E4"/>
    <w:rsid w:val="0059521E"/>
    <w:rsid w:val="005D043F"/>
    <w:rsid w:val="00610A89"/>
    <w:rsid w:val="00631B6D"/>
    <w:rsid w:val="00634EE0"/>
    <w:rsid w:val="006630AA"/>
    <w:rsid w:val="0068666B"/>
    <w:rsid w:val="006E0B86"/>
    <w:rsid w:val="007126A3"/>
    <w:rsid w:val="0073599B"/>
    <w:rsid w:val="0076497B"/>
    <w:rsid w:val="00766330"/>
    <w:rsid w:val="007755DE"/>
    <w:rsid w:val="007E0DBC"/>
    <w:rsid w:val="00801E18"/>
    <w:rsid w:val="00842E63"/>
    <w:rsid w:val="00892D58"/>
    <w:rsid w:val="008C5D71"/>
    <w:rsid w:val="008F485E"/>
    <w:rsid w:val="00902BB6"/>
    <w:rsid w:val="00917D1B"/>
    <w:rsid w:val="009349D5"/>
    <w:rsid w:val="00962E72"/>
    <w:rsid w:val="00965B3C"/>
    <w:rsid w:val="009804F0"/>
    <w:rsid w:val="00995C9B"/>
    <w:rsid w:val="009C4A0E"/>
    <w:rsid w:val="009D1754"/>
    <w:rsid w:val="009E5AA7"/>
    <w:rsid w:val="00AB3474"/>
    <w:rsid w:val="00AB5CD9"/>
    <w:rsid w:val="00AB627E"/>
    <w:rsid w:val="00AD2AE9"/>
    <w:rsid w:val="00B24A82"/>
    <w:rsid w:val="00B40415"/>
    <w:rsid w:val="00BC45B3"/>
    <w:rsid w:val="00BC5721"/>
    <w:rsid w:val="00BD48E2"/>
    <w:rsid w:val="00C065B6"/>
    <w:rsid w:val="00C57A06"/>
    <w:rsid w:val="00C63029"/>
    <w:rsid w:val="00C67E54"/>
    <w:rsid w:val="00C75C27"/>
    <w:rsid w:val="00C85D4D"/>
    <w:rsid w:val="00CB24DE"/>
    <w:rsid w:val="00CD0F23"/>
    <w:rsid w:val="00CD3EE4"/>
    <w:rsid w:val="00D032BD"/>
    <w:rsid w:val="00D26077"/>
    <w:rsid w:val="00DC0821"/>
    <w:rsid w:val="00DD06A5"/>
    <w:rsid w:val="00DF05A4"/>
    <w:rsid w:val="00DF2499"/>
    <w:rsid w:val="00DF5FA0"/>
    <w:rsid w:val="00E13677"/>
    <w:rsid w:val="00E55A02"/>
    <w:rsid w:val="00E7048C"/>
    <w:rsid w:val="00E742CD"/>
    <w:rsid w:val="00EC44AA"/>
    <w:rsid w:val="00EC4C71"/>
    <w:rsid w:val="00EC7359"/>
    <w:rsid w:val="00F11C3B"/>
    <w:rsid w:val="00F17950"/>
    <w:rsid w:val="00F21E52"/>
    <w:rsid w:val="00F3362E"/>
    <w:rsid w:val="00F409C5"/>
    <w:rsid w:val="00F54A65"/>
    <w:rsid w:val="00F63303"/>
    <w:rsid w:val="00F944BE"/>
    <w:rsid w:val="00FA176C"/>
    <w:rsid w:val="00FD2005"/>
    <w:rsid w:val="00FD7EB1"/>
    <w:rsid w:val="01DA678D"/>
    <w:rsid w:val="01F84CCA"/>
    <w:rsid w:val="03094B07"/>
    <w:rsid w:val="0360296E"/>
    <w:rsid w:val="037C38A3"/>
    <w:rsid w:val="038D3451"/>
    <w:rsid w:val="03B50FFB"/>
    <w:rsid w:val="040B4FD0"/>
    <w:rsid w:val="041279DC"/>
    <w:rsid w:val="042B5E22"/>
    <w:rsid w:val="050A5551"/>
    <w:rsid w:val="05114EDC"/>
    <w:rsid w:val="05BD0878"/>
    <w:rsid w:val="05FD1662"/>
    <w:rsid w:val="0602718C"/>
    <w:rsid w:val="06891246"/>
    <w:rsid w:val="06A115D9"/>
    <w:rsid w:val="06A42634"/>
    <w:rsid w:val="078A2563"/>
    <w:rsid w:val="07A45BF6"/>
    <w:rsid w:val="08270E46"/>
    <w:rsid w:val="082F7F8E"/>
    <w:rsid w:val="09CD487A"/>
    <w:rsid w:val="09FA536A"/>
    <w:rsid w:val="0A933EF7"/>
    <w:rsid w:val="0B680A2B"/>
    <w:rsid w:val="0BB2637C"/>
    <w:rsid w:val="0BD074EE"/>
    <w:rsid w:val="0CAC39D9"/>
    <w:rsid w:val="0D6D0214"/>
    <w:rsid w:val="0DB241E0"/>
    <w:rsid w:val="0DF75670"/>
    <w:rsid w:val="0E9647FF"/>
    <w:rsid w:val="0EE36E7C"/>
    <w:rsid w:val="0EEB1D0A"/>
    <w:rsid w:val="0F3950CE"/>
    <w:rsid w:val="0F476BA1"/>
    <w:rsid w:val="0FB13194"/>
    <w:rsid w:val="11620195"/>
    <w:rsid w:val="119D1273"/>
    <w:rsid w:val="12224D50"/>
    <w:rsid w:val="122D52DF"/>
    <w:rsid w:val="12573F25"/>
    <w:rsid w:val="129E6898"/>
    <w:rsid w:val="167B3370"/>
    <w:rsid w:val="16991AF6"/>
    <w:rsid w:val="17045380"/>
    <w:rsid w:val="18CD1A42"/>
    <w:rsid w:val="193F18FA"/>
    <w:rsid w:val="19C61E08"/>
    <w:rsid w:val="1A0503BE"/>
    <w:rsid w:val="1A2A7C96"/>
    <w:rsid w:val="1B59213E"/>
    <w:rsid w:val="1BE1664A"/>
    <w:rsid w:val="1D861BD3"/>
    <w:rsid w:val="1E2F71AF"/>
    <w:rsid w:val="1ED3514A"/>
    <w:rsid w:val="1EE95E19"/>
    <w:rsid w:val="1F106802"/>
    <w:rsid w:val="1F2B5BA0"/>
    <w:rsid w:val="1FA876D1"/>
    <w:rsid w:val="20725643"/>
    <w:rsid w:val="21617F9F"/>
    <w:rsid w:val="21B84562"/>
    <w:rsid w:val="21C359FD"/>
    <w:rsid w:val="22B40645"/>
    <w:rsid w:val="23344733"/>
    <w:rsid w:val="2435110C"/>
    <w:rsid w:val="24FC49B2"/>
    <w:rsid w:val="25870C4C"/>
    <w:rsid w:val="25B919BD"/>
    <w:rsid w:val="25BB15FE"/>
    <w:rsid w:val="25D00882"/>
    <w:rsid w:val="26A60E77"/>
    <w:rsid w:val="26FD6ABF"/>
    <w:rsid w:val="2764252F"/>
    <w:rsid w:val="27BA3DEB"/>
    <w:rsid w:val="27EB370D"/>
    <w:rsid w:val="285F2D5E"/>
    <w:rsid w:val="29B83F2D"/>
    <w:rsid w:val="2B1B0B39"/>
    <w:rsid w:val="2B7C59E1"/>
    <w:rsid w:val="2B904D21"/>
    <w:rsid w:val="2BFF4E3C"/>
    <w:rsid w:val="2C5867CF"/>
    <w:rsid w:val="2C74286D"/>
    <w:rsid w:val="2CDE2E82"/>
    <w:rsid w:val="2CF61B50"/>
    <w:rsid w:val="2DBE6180"/>
    <w:rsid w:val="2E144526"/>
    <w:rsid w:val="2E715F11"/>
    <w:rsid w:val="2F6C177A"/>
    <w:rsid w:val="31014620"/>
    <w:rsid w:val="31455AC9"/>
    <w:rsid w:val="3152277A"/>
    <w:rsid w:val="318873D1"/>
    <w:rsid w:val="32A233A1"/>
    <w:rsid w:val="33A743F3"/>
    <w:rsid w:val="342310E4"/>
    <w:rsid w:val="35507AD8"/>
    <w:rsid w:val="357061E7"/>
    <w:rsid w:val="35E0678B"/>
    <w:rsid w:val="35E12C8E"/>
    <w:rsid w:val="362F1373"/>
    <w:rsid w:val="365059D3"/>
    <w:rsid w:val="38BA649F"/>
    <w:rsid w:val="38EB6C6E"/>
    <w:rsid w:val="39034931"/>
    <w:rsid w:val="394C69E7"/>
    <w:rsid w:val="3A04692B"/>
    <w:rsid w:val="3ABA5547"/>
    <w:rsid w:val="3AE016A7"/>
    <w:rsid w:val="3BDF5609"/>
    <w:rsid w:val="3BFDBD0F"/>
    <w:rsid w:val="3D066CAD"/>
    <w:rsid w:val="3D2A7F67"/>
    <w:rsid w:val="3EB13681"/>
    <w:rsid w:val="3EE13DB5"/>
    <w:rsid w:val="3F032B02"/>
    <w:rsid w:val="3FC6532D"/>
    <w:rsid w:val="40662A84"/>
    <w:rsid w:val="40A4535A"/>
    <w:rsid w:val="40D62F6B"/>
    <w:rsid w:val="419B675D"/>
    <w:rsid w:val="42294B17"/>
    <w:rsid w:val="426B4687"/>
    <w:rsid w:val="429554CB"/>
    <w:rsid w:val="42D01E2D"/>
    <w:rsid w:val="43505BFE"/>
    <w:rsid w:val="43C967C1"/>
    <w:rsid w:val="444B29F1"/>
    <w:rsid w:val="459B4B29"/>
    <w:rsid w:val="46291FE8"/>
    <w:rsid w:val="46E861DF"/>
    <w:rsid w:val="470F36BD"/>
    <w:rsid w:val="472707CD"/>
    <w:rsid w:val="479B1ED9"/>
    <w:rsid w:val="48162E47"/>
    <w:rsid w:val="48B14A50"/>
    <w:rsid w:val="48D24F85"/>
    <w:rsid w:val="48EE4986"/>
    <w:rsid w:val="492E789D"/>
    <w:rsid w:val="49B616A7"/>
    <w:rsid w:val="49D35593"/>
    <w:rsid w:val="4A477482"/>
    <w:rsid w:val="4A983F84"/>
    <w:rsid w:val="4B5C4711"/>
    <w:rsid w:val="4C6D1D91"/>
    <w:rsid w:val="4C7D1D93"/>
    <w:rsid w:val="4DDE8392"/>
    <w:rsid w:val="4EFF657E"/>
    <w:rsid w:val="4F0B2DE6"/>
    <w:rsid w:val="4F3D3F64"/>
    <w:rsid w:val="4F521D8E"/>
    <w:rsid w:val="4F770865"/>
    <w:rsid w:val="4F93631E"/>
    <w:rsid w:val="505C5D66"/>
    <w:rsid w:val="50CC7AB5"/>
    <w:rsid w:val="51337FC8"/>
    <w:rsid w:val="52FD5035"/>
    <w:rsid w:val="533B4B1A"/>
    <w:rsid w:val="534A2839"/>
    <w:rsid w:val="53682C13"/>
    <w:rsid w:val="53A9514E"/>
    <w:rsid w:val="54B07EFF"/>
    <w:rsid w:val="553C7AE3"/>
    <w:rsid w:val="554E39F4"/>
    <w:rsid w:val="558859E4"/>
    <w:rsid w:val="55EB4403"/>
    <w:rsid w:val="56152E12"/>
    <w:rsid w:val="56E23696"/>
    <w:rsid w:val="56FCFE96"/>
    <w:rsid w:val="57B945AB"/>
    <w:rsid w:val="57CC75C7"/>
    <w:rsid w:val="57EC8E7E"/>
    <w:rsid w:val="58FF3BB3"/>
    <w:rsid w:val="59F76525"/>
    <w:rsid w:val="5B164401"/>
    <w:rsid w:val="5B243716"/>
    <w:rsid w:val="5C9F2EDF"/>
    <w:rsid w:val="5CE323F2"/>
    <w:rsid w:val="5D1C12D3"/>
    <w:rsid w:val="5DAE2DC0"/>
    <w:rsid w:val="5E001545"/>
    <w:rsid w:val="5E573EE5"/>
    <w:rsid w:val="5F0F7504"/>
    <w:rsid w:val="5FA7663E"/>
    <w:rsid w:val="5FA8056B"/>
    <w:rsid w:val="5FD53A4A"/>
    <w:rsid w:val="5FF71A00"/>
    <w:rsid w:val="60040D16"/>
    <w:rsid w:val="601C3371"/>
    <w:rsid w:val="601E082E"/>
    <w:rsid w:val="601E603C"/>
    <w:rsid w:val="60FF4431"/>
    <w:rsid w:val="61235916"/>
    <w:rsid w:val="619239A0"/>
    <w:rsid w:val="61EA0A90"/>
    <w:rsid w:val="622020DB"/>
    <w:rsid w:val="63FA0916"/>
    <w:rsid w:val="663C4348"/>
    <w:rsid w:val="677D0530"/>
    <w:rsid w:val="683A638D"/>
    <w:rsid w:val="68C54CEF"/>
    <w:rsid w:val="690802CD"/>
    <w:rsid w:val="69943146"/>
    <w:rsid w:val="69B30233"/>
    <w:rsid w:val="6A2B6021"/>
    <w:rsid w:val="6A775937"/>
    <w:rsid w:val="6C7A7686"/>
    <w:rsid w:val="6DFFD814"/>
    <w:rsid w:val="6E491E80"/>
    <w:rsid w:val="6EB2602C"/>
    <w:rsid w:val="6FB35F76"/>
    <w:rsid w:val="70BE4E07"/>
    <w:rsid w:val="718F3E5B"/>
    <w:rsid w:val="71CF6A05"/>
    <w:rsid w:val="728520E2"/>
    <w:rsid w:val="72D30C6F"/>
    <w:rsid w:val="738F4C25"/>
    <w:rsid w:val="73CF3EC1"/>
    <w:rsid w:val="74DB35C2"/>
    <w:rsid w:val="7524053F"/>
    <w:rsid w:val="757F95F9"/>
    <w:rsid w:val="75FFEF98"/>
    <w:rsid w:val="763F450F"/>
    <w:rsid w:val="76A74E38"/>
    <w:rsid w:val="76FF3080"/>
    <w:rsid w:val="77384726"/>
    <w:rsid w:val="773C312D"/>
    <w:rsid w:val="777D3B6B"/>
    <w:rsid w:val="77EE09D2"/>
    <w:rsid w:val="783372E7"/>
    <w:rsid w:val="78C31CAF"/>
    <w:rsid w:val="791F1192"/>
    <w:rsid w:val="79C30024"/>
    <w:rsid w:val="7A581D45"/>
    <w:rsid w:val="7AEDA724"/>
    <w:rsid w:val="7AF12146"/>
    <w:rsid w:val="7B452CBB"/>
    <w:rsid w:val="7BA50A03"/>
    <w:rsid w:val="7D943A85"/>
    <w:rsid w:val="7DAC1334"/>
    <w:rsid w:val="7DC55265"/>
    <w:rsid w:val="7DF6B970"/>
    <w:rsid w:val="7DFFA37C"/>
    <w:rsid w:val="7E3E089F"/>
    <w:rsid w:val="7E423935"/>
    <w:rsid w:val="7E536CE1"/>
    <w:rsid w:val="7E8F4979"/>
    <w:rsid w:val="7EC73B8E"/>
    <w:rsid w:val="7ED559F9"/>
    <w:rsid w:val="7ED76320"/>
    <w:rsid w:val="7F113DBD"/>
    <w:rsid w:val="7F281AE7"/>
    <w:rsid w:val="7FAD60C0"/>
    <w:rsid w:val="7FFFD43D"/>
    <w:rsid w:val="B9EFDE17"/>
    <w:rsid w:val="D7EF20F4"/>
    <w:rsid w:val="DBFFF4AE"/>
    <w:rsid w:val="EFE5FFA9"/>
    <w:rsid w:val="EFF7424D"/>
    <w:rsid w:val="FF4FB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9"/>
    <w:pPr>
      <w:keepNext/>
      <w:keepLines/>
      <w:widowControl/>
      <w:spacing w:before="240" w:line="259" w:lineRule="auto"/>
      <w:jc w:val="left"/>
      <w:outlineLvl w:val="0"/>
    </w:pPr>
    <w:rPr>
      <w:rFonts w:asciiTheme="majorHAnsi" w:hAnsiTheme="majorHAnsi" w:eastAsiaTheme="majorEastAsia" w:cstheme="majorBidi"/>
      <w:color w:val="376092" w:themeColor="accent1" w:themeShade="BF"/>
      <w:kern w:val="0"/>
      <w:sz w:val="32"/>
      <w:szCs w:val="32"/>
    </w:rPr>
  </w:style>
  <w:style w:type="paragraph" w:styleId="3">
    <w:name w:val="heading 2"/>
    <w:basedOn w:val="1"/>
    <w:next w:val="1"/>
    <w:link w:val="74"/>
    <w:unhideWhenUsed/>
    <w:qFormat/>
    <w:uiPriority w:val="9"/>
    <w:pPr>
      <w:keepNext/>
      <w:keepLines/>
      <w:widowControl/>
      <w:spacing w:before="40" w:line="259" w:lineRule="auto"/>
      <w:jc w:val="left"/>
      <w:outlineLvl w:val="1"/>
    </w:pPr>
    <w:rPr>
      <w:rFonts w:asciiTheme="majorHAnsi" w:hAnsiTheme="majorHAnsi" w:eastAsiaTheme="majorEastAsia" w:cstheme="majorBidi"/>
      <w:color w:val="376092" w:themeColor="accent1" w:themeShade="BF"/>
      <w:kern w:val="0"/>
      <w:sz w:val="26"/>
      <w:szCs w:val="26"/>
    </w:rPr>
  </w:style>
  <w:style w:type="paragraph" w:styleId="4">
    <w:name w:val="heading 3"/>
    <w:basedOn w:val="1"/>
    <w:next w:val="1"/>
    <w:link w:val="75"/>
    <w:qFormat/>
    <w:uiPriority w:val="0"/>
    <w:pPr>
      <w:keepNext/>
      <w:keepLines/>
      <w:spacing w:line="360" w:lineRule="auto"/>
      <w:outlineLvl w:val="2"/>
    </w:pPr>
    <w:rPr>
      <w:rFonts w:ascii="宋体" w:hAnsi="宋体" w:eastAsia="宋体" w:cs="Times New Roman"/>
      <w:color w:val="000000"/>
      <w:szCs w:val="21"/>
    </w:rPr>
  </w:style>
  <w:style w:type="paragraph" w:styleId="5">
    <w:name w:val="heading 4"/>
    <w:basedOn w:val="1"/>
    <w:next w:val="1"/>
    <w:link w:val="88"/>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widowControl/>
      <w:spacing w:after="200"/>
      <w:jc w:val="left"/>
    </w:pPr>
    <w:rPr>
      <w:i/>
      <w:iCs/>
      <w:color w:val="1F497D" w:themeColor="text2"/>
      <w:kern w:val="0"/>
      <w:sz w:val="18"/>
      <w:szCs w:val="18"/>
      <w14:textFill>
        <w14:solidFill>
          <w14:schemeClr w14:val="tx2"/>
        </w14:solidFill>
      </w14:textFill>
    </w:rPr>
  </w:style>
  <w:style w:type="paragraph" w:styleId="7">
    <w:name w:val="annotation text"/>
    <w:basedOn w:val="1"/>
    <w:link w:val="85"/>
    <w:unhideWhenUsed/>
    <w:qFormat/>
    <w:uiPriority w:val="99"/>
    <w:pPr>
      <w:widowControl/>
      <w:spacing w:after="160"/>
      <w:jc w:val="left"/>
    </w:pPr>
    <w:rPr>
      <w:kern w:val="0"/>
      <w:sz w:val="20"/>
      <w:szCs w:val="20"/>
    </w:rPr>
  </w:style>
  <w:style w:type="paragraph" w:styleId="8">
    <w:name w:val="Body Text"/>
    <w:basedOn w:val="1"/>
    <w:link w:val="70"/>
    <w:qFormat/>
    <w:uiPriority w:val="99"/>
    <w:pPr>
      <w:ind w:left="118"/>
      <w:jc w:val="left"/>
    </w:pPr>
    <w:rPr>
      <w:rFonts w:ascii="宋体" w:hAnsi="宋体" w:eastAsia="宋体" w:cs="Times New Roman"/>
      <w:kern w:val="0"/>
      <w:szCs w:val="21"/>
      <w:lang w:eastAsia="en-US"/>
    </w:rPr>
  </w:style>
  <w:style w:type="paragraph" w:styleId="9">
    <w:name w:val="Body Text Indent"/>
    <w:basedOn w:val="1"/>
    <w:link w:val="81"/>
    <w:unhideWhenUsed/>
    <w:qFormat/>
    <w:uiPriority w:val="99"/>
    <w:pPr>
      <w:widowControl/>
      <w:spacing w:after="120" w:line="259" w:lineRule="auto"/>
      <w:ind w:left="283"/>
      <w:jc w:val="left"/>
    </w:pPr>
    <w:rPr>
      <w:kern w:val="0"/>
      <w:sz w:val="22"/>
    </w:rPr>
  </w:style>
  <w:style w:type="paragraph" w:styleId="10">
    <w:name w:val="toc 3"/>
    <w:basedOn w:val="1"/>
    <w:next w:val="1"/>
    <w:unhideWhenUsed/>
    <w:qFormat/>
    <w:uiPriority w:val="39"/>
    <w:pPr>
      <w:widowControl/>
      <w:spacing w:after="100" w:line="259" w:lineRule="auto"/>
      <w:ind w:left="440"/>
      <w:jc w:val="left"/>
    </w:pPr>
    <w:rPr>
      <w:kern w:val="0"/>
      <w:sz w:val="22"/>
    </w:rPr>
  </w:style>
  <w:style w:type="paragraph" w:styleId="11">
    <w:name w:val="Date"/>
    <w:basedOn w:val="1"/>
    <w:next w:val="1"/>
    <w:link w:val="87"/>
    <w:unhideWhenUsed/>
    <w:qFormat/>
    <w:uiPriority w:val="99"/>
  </w:style>
  <w:style w:type="paragraph" w:styleId="12">
    <w:name w:val="Body Text Indent 2"/>
    <w:basedOn w:val="1"/>
    <w:link w:val="80"/>
    <w:semiHidden/>
    <w:qFormat/>
    <w:uiPriority w:val="0"/>
    <w:pPr>
      <w:spacing w:line="360" w:lineRule="auto"/>
      <w:ind w:firstLine="420" w:firstLineChars="200"/>
    </w:pPr>
    <w:rPr>
      <w:rFonts w:ascii="Times New Roman" w:hAnsi="Times New Roman" w:eastAsia="宋体" w:cs="Times New Roman"/>
      <w:szCs w:val="24"/>
    </w:rPr>
  </w:style>
  <w:style w:type="paragraph" w:styleId="13">
    <w:name w:val="Balloon Text"/>
    <w:basedOn w:val="1"/>
    <w:link w:val="72"/>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9241"/>
      </w:tabs>
      <w:spacing w:beforeLines="25" w:afterLines="25"/>
      <w:jc w:val="left"/>
    </w:pPr>
    <w:rPr>
      <w:rFonts w:ascii="宋体" w:hAnsi="Times New Roman" w:eastAsia="宋体" w:cs="Times New Roman"/>
      <w:szCs w:val="21"/>
    </w:rPr>
  </w:style>
  <w:style w:type="paragraph" w:styleId="17">
    <w:name w:val="footnote text"/>
    <w:basedOn w:val="1"/>
    <w:link w:val="96"/>
    <w:qFormat/>
    <w:uiPriority w:val="0"/>
    <w:pPr>
      <w:numPr>
        <w:ilvl w:val="0"/>
        <w:numId w:val="1"/>
      </w:numPr>
      <w:snapToGrid w:val="0"/>
      <w:jc w:val="left"/>
    </w:pPr>
    <w:rPr>
      <w:rFonts w:ascii="宋体" w:hAnsi="Times New Roman" w:eastAsia="宋体" w:cs="Times New Roman"/>
      <w:sz w:val="18"/>
      <w:szCs w:val="18"/>
    </w:rPr>
  </w:style>
  <w:style w:type="paragraph" w:styleId="18">
    <w:name w:val="toc 2"/>
    <w:basedOn w:val="1"/>
    <w:next w:val="1"/>
    <w:unhideWhenUsed/>
    <w:qFormat/>
    <w:uiPriority w:val="39"/>
    <w:pPr>
      <w:widowControl/>
      <w:spacing w:after="100" w:line="259" w:lineRule="auto"/>
      <w:ind w:left="220"/>
      <w:jc w:val="left"/>
    </w:pPr>
    <w:rPr>
      <w:kern w:val="0"/>
      <w:sz w:val="22"/>
    </w:rPr>
  </w:style>
  <w:style w:type="paragraph" w:styleId="19">
    <w:name w:val="annotation subject"/>
    <w:basedOn w:val="7"/>
    <w:next w:val="7"/>
    <w:link w:val="86"/>
    <w:unhideWhenUsed/>
    <w:qFormat/>
    <w:uiPriority w:val="99"/>
    <w:rPr>
      <w:b/>
      <w:bCs/>
    </w:rPr>
  </w:style>
  <w:style w:type="table" w:styleId="21">
    <w:name w:val="Table Grid"/>
    <w:basedOn w:val="2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Hyperlink"/>
    <w:basedOn w:val="22"/>
    <w:qFormat/>
    <w:uiPriority w:val="99"/>
    <w:rPr>
      <w:color w:val="0000FF"/>
      <w:spacing w:val="0"/>
      <w:w w:val="100"/>
      <w:szCs w:val="21"/>
      <w:u w:val="single"/>
    </w:rPr>
  </w:style>
  <w:style w:type="character" w:styleId="25">
    <w:name w:val="annotation reference"/>
    <w:basedOn w:val="22"/>
    <w:unhideWhenUsed/>
    <w:qFormat/>
    <w:uiPriority w:val="99"/>
    <w:rPr>
      <w:sz w:val="16"/>
      <w:szCs w:val="16"/>
    </w:rPr>
  </w:style>
  <w:style w:type="character" w:customStyle="1" w:styleId="26">
    <w:name w:val="页眉 字符"/>
    <w:basedOn w:val="22"/>
    <w:link w:val="15"/>
    <w:qFormat/>
    <w:uiPriority w:val="99"/>
    <w:rPr>
      <w:sz w:val="18"/>
      <w:szCs w:val="18"/>
    </w:rPr>
  </w:style>
  <w:style w:type="character" w:customStyle="1" w:styleId="27">
    <w:name w:val="页脚 字符"/>
    <w:basedOn w:val="22"/>
    <w:link w:val="14"/>
    <w:qFormat/>
    <w:uiPriority w:val="99"/>
    <w:rPr>
      <w:sz w:val="18"/>
      <w:szCs w:val="18"/>
    </w:rPr>
  </w:style>
  <w:style w:type="paragraph" w:customStyle="1" w:styleId="28">
    <w:name w:val="段"/>
    <w:link w:val="29"/>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段 Char"/>
    <w:basedOn w:val="22"/>
    <w:link w:val="28"/>
    <w:qFormat/>
    <w:uiPriority w:val="99"/>
    <w:rPr>
      <w:rFonts w:ascii="宋体" w:hAnsi="Times New Roman" w:eastAsia="宋体" w:cs="Times New Roman"/>
      <w:kern w:val="0"/>
      <w:szCs w:val="20"/>
    </w:rPr>
  </w:style>
  <w:style w:type="paragraph" w:customStyle="1" w:styleId="30">
    <w:name w:val="一级条标题"/>
    <w:next w:val="28"/>
    <w:link w:val="105"/>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3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2">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33">
    <w:name w:val="二级条标题"/>
    <w:basedOn w:val="30"/>
    <w:next w:val="28"/>
    <w:qFormat/>
    <w:uiPriority w:val="0"/>
    <w:pPr>
      <w:numPr>
        <w:ilvl w:val="2"/>
      </w:numPr>
      <w:spacing w:before="50"/>
      <w:ind w:left="0"/>
      <w:outlineLvl w:val="3"/>
    </w:pPr>
    <w:rPr>
      <w:rFonts w:hAnsi="黑体"/>
    </w:rPr>
  </w:style>
  <w:style w:type="paragraph" w:customStyle="1" w:styleId="3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5">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6">
    <w:name w:val="四级条标题"/>
    <w:basedOn w:val="28"/>
    <w:next w:val="28"/>
    <w:qFormat/>
    <w:uiPriority w:val="0"/>
    <w:pPr>
      <w:widowControl/>
      <w:numPr>
        <w:ilvl w:val="4"/>
        <w:numId w:val="2"/>
      </w:numPr>
      <w:spacing w:before="50" w:beforeLines="50" w:after="50" w:afterLines="50"/>
      <w:jc w:val="left"/>
      <w:outlineLvl w:val="5"/>
    </w:pPr>
    <w:rPr>
      <w:rFonts w:ascii="黑体" w:hAnsi="黑体" w:eastAsia="黑体"/>
      <w:szCs w:val="21"/>
    </w:rPr>
  </w:style>
  <w:style w:type="paragraph" w:customStyle="1" w:styleId="37">
    <w:name w:val="五级条标题"/>
    <w:basedOn w:val="36"/>
    <w:next w:val="28"/>
    <w:qFormat/>
    <w:uiPriority w:val="0"/>
    <w:pPr>
      <w:numPr>
        <w:ilvl w:val="5"/>
      </w:numPr>
      <w:outlineLvl w:val="6"/>
    </w:p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
    <w:name w:val="封面标准英文名称"/>
    <w:basedOn w:val="39"/>
    <w:qFormat/>
    <w:uiPriority w:val="0"/>
    <w:pPr>
      <w:framePr w:wrap="around"/>
      <w:spacing w:before="370" w:line="400" w:lineRule="exact"/>
    </w:pPr>
    <w:rPr>
      <w:rFonts w:ascii="Times New Roman"/>
      <w:sz w:val="28"/>
      <w:szCs w:val="28"/>
    </w:rPr>
  </w:style>
  <w:style w:type="paragraph" w:customStyle="1" w:styleId="41">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hAnsi="Times New Roman" w:eastAsia="宋体" w:cs="Times New Roman"/>
      <w:kern w:val="0"/>
      <w:sz w:val="24"/>
      <w:szCs w:val="28"/>
    </w:rPr>
  </w:style>
  <w:style w:type="paragraph" w:customStyle="1" w:styleId="42">
    <w:name w:val="封面标准文稿编辑信息"/>
    <w:basedOn w:val="41"/>
    <w:qFormat/>
    <w:uiPriority w:val="0"/>
    <w:pPr>
      <w:framePr w:wrap="around"/>
      <w:spacing w:before="180" w:line="180" w:lineRule="exact"/>
    </w:pPr>
    <w:rPr>
      <w:sz w:val="21"/>
    </w:rPr>
  </w:style>
  <w:style w:type="paragraph" w:customStyle="1" w:styleId="4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4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6">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8">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49">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 w:val="clear" w:pos="760"/>
      </w:tabs>
      <w:jc w:val="both"/>
    </w:pPr>
    <w:rPr>
      <w:rFonts w:ascii="宋体" w:hAnsi="Times New Roman" w:eastAsia="宋体" w:cs="Times New Roman"/>
      <w:sz w:val="21"/>
      <w:lang w:val="en-US" w:eastAsia="zh-CN" w:bidi="ar-SA"/>
    </w:rPr>
  </w:style>
  <w:style w:type="paragraph" w:customStyle="1" w:styleId="52">
    <w:name w:val="三级条标题"/>
    <w:basedOn w:val="33"/>
    <w:next w:val="28"/>
    <w:qFormat/>
    <w:uiPriority w:val="0"/>
    <w:pPr>
      <w:numPr>
        <w:ilvl w:val="0"/>
        <w:numId w:val="0"/>
      </w:numPr>
      <w:outlineLvl w:val="4"/>
    </w:pPr>
    <w:rPr>
      <w:rFonts w:asciiTheme="minorAscii" w:hAnsiTheme="minorAscii"/>
    </w:rPr>
  </w:style>
  <w:style w:type="paragraph" w:customStyle="1" w:styleId="53">
    <w:name w:val="示例"/>
    <w:next w:val="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6">
    <w:name w:val="列项◆（三级）"/>
    <w:basedOn w:val="1"/>
    <w:qFormat/>
    <w:uiPriority w:val="0"/>
    <w:pPr>
      <w:numPr>
        <w:ilvl w:val="2"/>
        <w:numId w:val="3"/>
      </w:numPr>
    </w:pPr>
    <w:rPr>
      <w:rFonts w:ascii="宋体" w:hAnsi="Times New Roman" w:eastAsia="宋体" w:cs="Times New Roman"/>
      <w:szCs w:val="21"/>
    </w:rPr>
  </w:style>
  <w:style w:type="paragraph" w:customStyle="1" w:styleId="57">
    <w:name w:val="二级无"/>
    <w:basedOn w:val="33"/>
    <w:qFormat/>
    <w:uiPriority w:val="0"/>
    <w:pPr>
      <w:numPr>
        <w:numId w:val="6"/>
      </w:numPr>
      <w:tabs>
        <w:tab w:val="left" w:pos="720"/>
        <w:tab w:val="left" w:pos="2160"/>
      </w:tabs>
      <w:spacing w:beforeLines="0" w:afterLines="0"/>
    </w:pPr>
    <w:rPr>
      <w:rFonts w:ascii="宋体" w:eastAsia="宋体"/>
    </w:rPr>
  </w:style>
  <w:style w:type="paragraph" w:customStyle="1" w:styleId="58">
    <w:name w:val="附录标识"/>
    <w:basedOn w:val="1"/>
    <w:next w:val="28"/>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9">
    <w:name w:val="附录表标号"/>
    <w:basedOn w:val="1"/>
    <w:next w:val="28"/>
    <w:qFormat/>
    <w:uiPriority w:val="0"/>
    <w:pPr>
      <w:numPr>
        <w:ilvl w:val="0"/>
        <w:numId w:val="8"/>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60">
    <w:name w:val="附录表标题"/>
    <w:basedOn w:val="1"/>
    <w:next w:val="28"/>
    <w:qFormat/>
    <w:uiPriority w:val="0"/>
    <w:pPr>
      <w:numPr>
        <w:ilvl w:val="1"/>
        <w:numId w:val="8"/>
      </w:numPr>
      <w:tabs>
        <w:tab w:val="left" w:pos="180"/>
      </w:tabs>
      <w:spacing w:beforeLines="50" w:afterLines="50"/>
      <w:ind w:left="0" w:firstLine="0"/>
      <w:jc w:val="center"/>
    </w:pPr>
    <w:rPr>
      <w:rFonts w:ascii="黑体" w:hAnsi="Times New Roman" w:eastAsia="黑体" w:cs="Times New Roman"/>
      <w:szCs w:val="21"/>
    </w:rPr>
  </w:style>
  <w:style w:type="paragraph" w:customStyle="1" w:styleId="61">
    <w:name w:val="附录二级条标题"/>
    <w:basedOn w:val="1"/>
    <w:next w:val="28"/>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62">
    <w:name w:val="附录三级条标题"/>
    <w:basedOn w:val="61"/>
    <w:next w:val="28"/>
    <w:qFormat/>
    <w:uiPriority w:val="0"/>
    <w:pPr>
      <w:numPr>
        <w:ilvl w:val="4"/>
      </w:numPr>
    </w:pPr>
  </w:style>
  <w:style w:type="paragraph" w:customStyle="1" w:styleId="63">
    <w:name w:val="附录四级条标题"/>
    <w:basedOn w:val="62"/>
    <w:next w:val="28"/>
    <w:qFormat/>
    <w:uiPriority w:val="0"/>
    <w:pPr>
      <w:numPr>
        <w:ilvl w:val="5"/>
      </w:numPr>
      <w:outlineLvl w:val="5"/>
    </w:pPr>
  </w:style>
  <w:style w:type="paragraph" w:customStyle="1" w:styleId="64">
    <w:name w:val="附录图标号"/>
    <w:basedOn w:val="1"/>
    <w:qFormat/>
    <w:uiPriority w:val="0"/>
    <w:pPr>
      <w:keepNext/>
      <w:pageBreakBefore/>
      <w:widowControl/>
      <w:numPr>
        <w:ilvl w:val="0"/>
        <w:numId w:val="9"/>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65">
    <w:name w:val="附录图标题"/>
    <w:basedOn w:val="1"/>
    <w:next w:val="28"/>
    <w:qFormat/>
    <w:uiPriority w:val="0"/>
    <w:pPr>
      <w:numPr>
        <w:ilvl w:val="1"/>
        <w:numId w:val="9"/>
      </w:numPr>
      <w:tabs>
        <w:tab w:val="left" w:pos="363"/>
      </w:tabs>
      <w:spacing w:beforeLines="50" w:afterLines="50"/>
      <w:ind w:left="0" w:firstLine="0"/>
      <w:jc w:val="center"/>
    </w:pPr>
    <w:rPr>
      <w:rFonts w:ascii="黑体" w:hAnsi="Times New Roman" w:eastAsia="黑体" w:cs="Times New Roman"/>
      <w:szCs w:val="21"/>
    </w:rPr>
  </w:style>
  <w:style w:type="paragraph" w:customStyle="1" w:styleId="66">
    <w:name w:val="附录五级条标题"/>
    <w:basedOn w:val="63"/>
    <w:next w:val="28"/>
    <w:qFormat/>
    <w:uiPriority w:val="0"/>
    <w:pPr>
      <w:numPr>
        <w:ilvl w:val="6"/>
      </w:numPr>
      <w:outlineLvl w:val="6"/>
    </w:pPr>
  </w:style>
  <w:style w:type="paragraph" w:customStyle="1" w:styleId="67">
    <w:name w:val="附录章标题"/>
    <w:next w:val="28"/>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8">
    <w:name w:val="附录一级条标题"/>
    <w:basedOn w:val="67"/>
    <w:next w:val="28"/>
    <w:qFormat/>
    <w:uiPriority w:val="0"/>
    <w:pPr>
      <w:numPr>
        <w:ilvl w:val="2"/>
      </w:numPr>
      <w:autoSpaceDN w:val="0"/>
      <w:spacing w:beforeLines="50" w:afterLines="50"/>
      <w:outlineLvl w:val="2"/>
    </w:pPr>
  </w:style>
  <w:style w:type="paragraph" w:customStyle="1" w:styleId="69">
    <w:name w:val="正文表标题"/>
    <w:next w:val="28"/>
    <w:qFormat/>
    <w:uiPriority w:val="0"/>
    <w:pPr>
      <w:numPr>
        <w:ilvl w:val="0"/>
        <w:numId w:val="10"/>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70">
    <w:name w:val="正文文本 字符"/>
    <w:basedOn w:val="22"/>
    <w:link w:val="8"/>
    <w:qFormat/>
    <w:uiPriority w:val="99"/>
    <w:rPr>
      <w:rFonts w:ascii="宋体" w:hAnsi="宋体" w:eastAsia="宋体" w:cs="Times New Roman"/>
      <w:kern w:val="0"/>
      <w:szCs w:val="21"/>
      <w:lang w:eastAsia="en-US"/>
    </w:rPr>
  </w:style>
  <w:style w:type="paragraph" w:customStyle="1" w:styleId="71">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character" w:customStyle="1" w:styleId="72">
    <w:name w:val="批注框文本 字符"/>
    <w:basedOn w:val="22"/>
    <w:link w:val="13"/>
    <w:semiHidden/>
    <w:qFormat/>
    <w:uiPriority w:val="99"/>
    <w:rPr>
      <w:sz w:val="18"/>
      <w:szCs w:val="18"/>
    </w:rPr>
  </w:style>
  <w:style w:type="character" w:customStyle="1" w:styleId="73">
    <w:name w:val="标题 1 字符"/>
    <w:basedOn w:val="22"/>
    <w:link w:val="2"/>
    <w:qFormat/>
    <w:uiPriority w:val="9"/>
    <w:rPr>
      <w:rFonts w:asciiTheme="majorHAnsi" w:hAnsiTheme="majorHAnsi" w:eastAsiaTheme="majorEastAsia" w:cstheme="majorBidi"/>
      <w:color w:val="376092" w:themeColor="accent1" w:themeShade="BF"/>
      <w:kern w:val="0"/>
      <w:sz w:val="32"/>
      <w:szCs w:val="32"/>
    </w:rPr>
  </w:style>
  <w:style w:type="character" w:customStyle="1" w:styleId="74">
    <w:name w:val="标题 2 字符"/>
    <w:basedOn w:val="22"/>
    <w:link w:val="3"/>
    <w:semiHidden/>
    <w:qFormat/>
    <w:uiPriority w:val="9"/>
    <w:rPr>
      <w:rFonts w:asciiTheme="majorHAnsi" w:hAnsiTheme="majorHAnsi" w:eastAsiaTheme="majorEastAsia" w:cstheme="majorBidi"/>
      <w:color w:val="376092" w:themeColor="accent1" w:themeShade="BF"/>
      <w:kern w:val="0"/>
      <w:sz w:val="26"/>
      <w:szCs w:val="26"/>
    </w:rPr>
  </w:style>
  <w:style w:type="character" w:customStyle="1" w:styleId="75">
    <w:name w:val="标题 3 字符"/>
    <w:basedOn w:val="22"/>
    <w:link w:val="4"/>
    <w:qFormat/>
    <w:uiPriority w:val="0"/>
    <w:rPr>
      <w:rFonts w:ascii="宋体" w:hAnsi="宋体" w:eastAsia="宋体" w:cs="Times New Roman"/>
      <w:color w:val="000000"/>
      <w:szCs w:val="21"/>
    </w:rPr>
  </w:style>
  <w:style w:type="paragraph" w:customStyle="1" w:styleId="76">
    <w:name w:val="列表段落1"/>
    <w:basedOn w:val="1"/>
    <w:qFormat/>
    <w:uiPriority w:val="34"/>
    <w:pPr>
      <w:ind w:firstLine="420" w:firstLineChars="200"/>
    </w:pPr>
  </w:style>
  <w:style w:type="character" w:customStyle="1" w:styleId="77">
    <w:name w:val="标题 3 Char"/>
    <w:qFormat/>
    <w:uiPriority w:val="0"/>
    <w:rPr>
      <w:kern w:val="2"/>
      <w:szCs w:val="32"/>
    </w:rPr>
  </w:style>
  <w:style w:type="paragraph" w:customStyle="1" w:styleId="78">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paragraph" w:customStyle="1" w:styleId="79">
    <w:name w:val="1"/>
    <w:basedOn w:val="1"/>
    <w:next w:val="9"/>
    <w:qFormat/>
    <w:uiPriority w:val="0"/>
    <w:pPr>
      <w:spacing w:after="120"/>
      <w:ind w:left="420" w:leftChars="200"/>
    </w:pPr>
    <w:rPr>
      <w:rFonts w:ascii="Times New Roman" w:hAnsi="Times New Roman" w:eastAsia="宋体" w:cs="Times New Roman"/>
      <w:szCs w:val="24"/>
    </w:rPr>
  </w:style>
  <w:style w:type="character" w:customStyle="1" w:styleId="80">
    <w:name w:val="正文文本缩进 2 字符"/>
    <w:basedOn w:val="22"/>
    <w:link w:val="12"/>
    <w:semiHidden/>
    <w:qFormat/>
    <w:uiPriority w:val="0"/>
    <w:rPr>
      <w:rFonts w:ascii="Times New Roman" w:hAnsi="Times New Roman" w:eastAsia="宋体" w:cs="Times New Roman"/>
      <w:szCs w:val="24"/>
    </w:rPr>
  </w:style>
  <w:style w:type="character" w:customStyle="1" w:styleId="81">
    <w:name w:val="正文文本缩进 字符"/>
    <w:basedOn w:val="22"/>
    <w:link w:val="9"/>
    <w:semiHidden/>
    <w:qFormat/>
    <w:uiPriority w:val="99"/>
    <w:rPr>
      <w:kern w:val="0"/>
      <w:sz w:val="22"/>
    </w:rPr>
  </w:style>
  <w:style w:type="character" w:customStyle="1" w:styleId="82">
    <w:name w:val="占位符文本1"/>
    <w:basedOn w:val="22"/>
    <w:semiHidden/>
    <w:qFormat/>
    <w:uiPriority w:val="99"/>
    <w:rPr>
      <w:color w:val="808080"/>
    </w:rPr>
  </w:style>
  <w:style w:type="character" w:customStyle="1" w:styleId="83">
    <w:name w:val="high-light-bg4"/>
    <w:basedOn w:val="22"/>
    <w:qFormat/>
    <w:uiPriority w:val="0"/>
  </w:style>
  <w:style w:type="paragraph" w:customStyle="1" w:styleId="84">
    <w:name w:val="TOC 标题1"/>
    <w:basedOn w:val="2"/>
    <w:next w:val="1"/>
    <w:unhideWhenUsed/>
    <w:qFormat/>
    <w:uiPriority w:val="39"/>
    <w:pPr>
      <w:outlineLvl w:val="9"/>
    </w:pPr>
    <w:rPr>
      <w:lang w:eastAsia="en-US"/>
    </w:rPr>
  </w:style>
  <w:style w:type="character" w:customStyle="1" w:styleId="85">
    <w:name w:val="批注文字 字符"/>
    <w:basedOn w:val="22"/>
    <w:link w:val="7"/>
    <w:semiHidden/>
    <w:qFormat/>
    <w:uiPriority w:val="99"/>
    <w:rPr>
      <w:kern w:val="0"/>
      <w:sz w:val="20"/>
      <w:szCs w:val="20"/>
    </w:rPr>
  </w:style>
  <w:style w:type="character" w:customStyle="1" w:styleId="86">
    <w:name w:val="批注主题 字符"/>
    <w:basedOn w:val="85"/>
    <w:link w:val="19"/>
    <w:semiHidden/>
    <w:qFormat/>
    <w:uiPriority w:val="99"/>
    <w:rPr>
      <w:b/>
      <w:bCs/>
      <w:kern w:val="0"/>
      <w:sz w:val="20"/>
      <w:szCs w:val="20"/>
    </w:rPr>
  </w:style>
  <w:style w:type="character" w:customStyle="1" w:styleId="87">
    <w:name w:val="日期 字符"/>
    <w:basedOn w:val="22"/>
    <w:link w:val="11"/>
    <w:semiHidden/>
    <w:qFormat/>
    <w:uiPriority w:val="99"/>
  </w:style>
  <w:style w:type="character" w:customStyle="1" w:styleId="88">
    <w:name w:val="标题 4 字符"/>
    <w:basedOn w:val="22"/>
    <w:link w:val="5"/>
    <w:semiHidden/>
    <w:qFormat/>
    <w:uiPriority w:val="9"/>
    <w:rPr>
      <w:rFonts w:asciiTheme="majorHAnsi" w:hAnsiTheme="majorHAnsi" w:eastAsiaTheme="majorEastAsia" w:cstheme="majorBidi"/>
      <w:i/>
      <w:iCs/>
      <w:color w:val="376092" w:themeColor="accent1" w:themeShade="BF"/>
    </w:rPr>
  </w:style>
  <w:style w:type="paragraph" w:customStyle="1" w:styleId="8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0">
    <w:name w:val="示例×："/>
    <w:basedOn w:val="32"/>
    <w:qFormat/>
    <w:uiPriority w:val="0"/>
    <w:pPr>
      <w:numPr>
        <w:numId w:val="11"/>
      </w:numPr>
      <w:spacing w:beforeLines="0" w:afterLines="0"/>
      <w:outlineLvl w:val="9"/>
    </w:pPr>
    <w:rPr>
      <w:rFonts w:ascii="宋体" w:eastAsia="宋体"/>
      <w:sz w:val="18"/>
      <w:szCs w:val="18"/>
    </w:rPr>
  </w:style>
  <w:style w:type="paragraph" w:customStyle="1" w:styleId="91">
    <w:name w:val="注×：（正文）"/>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9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4">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封面一致性程度标识"/>
    <w:basedOn w:val="40"/>
    <w:qFormat/>
    <w:uiPriority w:val="0"/>
    <w:pPr>
      <w:framePr w:wrap="around"/>
      <w:spacing w:before="440"/>
    </w:pPr>
    <w:rPr>
      <w:rFonts w:ascii="宋体" w:eastAsia="宋体"/>
    </w:rPr>
  </w:style>
  <w:style w:type="character" w:customStyle="1" w:styleId="96">
    <w:name w:val="脚注文本 字符"/>
    <w:basedOn w:val="22"/>
    <w:link w:val="17"/>
    <w:qFormat/>
    <w:uiPriority w:val="0"/>
    <w:rPr>
      <w:rFonts w:ascii="宋体" w:hAnsi="Times New Roman" w:eastAsia="宋体" w:cs="Times New Roman"/>
      <w:sz w:val="18"/>
      <w:szCs w:val="18"/>
    </w:rPr>
  </w:style>
  <w:style w:type="character" w:customStyle="1" w:styleId="97">
    <w:name w:val="段 Char Char"/>
    <w:qFormat/>
    <w:uiPriority w:val="0"/>
    <w:rPr>
      <w:rFonts w:ascii="宋体"/>
      <w:kern w:val="2"/>
      <w:sz w:val="21"/>
      <w:szCs w:val="22"/>
      <w:lang w:val="en-US" w:eastAsia="zh-CN" w:bidi="ar-SA"/>
    </w:rPr>
  </w:style>
  <w:style w:type="character" w:customStyle="1" w:styleId="98">
    <w:name w:val="author-6893438683349827587"/>
    <w:basedOn w:val="22"/>
    <w:qFormat/>
    <w:uiPriority w:val="0"/>
  </w:style>
  <w:style w:type="character" w:customStyle="1" w:styleId="99">
    <w:name w:val="author-6791430214111985665"/>
    <w:basedOn w:val="22"/>
    <w:qFormat/>
    <w:uiPriority w:val="0"/>
  </w:style>
  <w:style w:type="paragraph" w:styleId="100">
    <w:name w:val="List Paragraph"/>
    <w:basedOn w:val="1"/>
    <w:qFormat/>
    <w:uiPriority w:val="99"/>
    <w:pPr>
      <w:ind w:firstLine="420" w:firstLineChars="200"/>
    </w:pPr>
  </w:style>
  <w:style w:type="paragraph" w:customStyle="1" w:styleId="1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2">
    <w:name w:val="TOC 标题2"/>
    <w:basedOn w:val="2"/>
    <w:next w:val="1"/>
    <w:unhideWhenUsed/>
    <w:qFormat/>
    <w:uiPriority w:val="39"/>
    <w:pPr>
      <w:outlineLvl w:val="9"/>
    </w:pPr>
  </w:style>
  <w:style w:type="paragraph" w:customStyle="1" w:styleId="103">
    <w:name w:val="二级非标题"/>
    <w:basedOn w:val="30"/>
    <w:qFormat/>
    <w:uiPriority w:val="0"/>
    <w:pPr>
      <w:numPr>
        <w:numId w:val="13"/>
      </w:numPr>
      <w:tabs>
        <w:tab w:val="left" w:pos="0"/>
      </w:tabs>
    </w:pPr>
    <w:rPr>
      <w:rFonts w:ascii="Times New Roman" w:eastAsia="宋体"/>
      <w:sz w:val="20"/>
      <w:szCs w:val="20"/>
    </w:rPr>
  </w:style>
  <w:style w:type="paragraph" w:customStyle="1" w:styleId="10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5">
    <w:name w:val="一级条标题 Char"/>
    <w:link w:val="30"/>
    <w:qFormat/>
    <w:uiPriority w:val="0"/>
    <w:rPr>
      <w:rFonts w:ascii="黑体" w:eastAsia="黑体"/>
      <w:sz w:val="21"/>
      <w:szCs w:val="21"/>
    </w:rPr>
  </w:style>
  <w:style w:type="paragraph" w:customStyle="1" w:styleId="10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7">
    <w:name w:val="三级标题"/>
    <w:basedOn w:val="33"/>
    <w:next w:val="36"/>
    <w:qFormat/>
    <w:uiPriority w:val="0"/>
    <w:pPr>
      <w:numPr>
        <w:ilvl w:val="0"/>
      </w:numPr>
      <w:outlineLvl w:val="4"/>
    </w:pPr>
    <w:rPr>
      <w:rFonts w:asciiTheme="minorAscii" w:hAnsiTheme="minorAscii"/>
    </w:rPr>
  </w:style>
  <w:style w:type="paragraph" w:customStyle="1" w:styleId="108">
    <w:name w:val="样式1"/>
    <w:basedOn w:val="1"/>
    <w:qFormat/>
    <w:uiPriority w:val="0"/>
    <w:rPr>
      <w:rFonts w:asciiTheme="minorAscii" w:hAnsiTheme="minorAscii"/>
    </w:rPr>
  </w:style>
  <w:style w:type="paragraph" w:customStyle="1" w:styleId="10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1307</Words>
  <Characters>7455</Characters>
  <Lines>62</Lines>
  <Paragraphs>17</Paragraphs>
  <TotalTime>4</TotalTime>
  <ScaleCrop>false</ScaleCrop>
  <LinksUpToDate>false</LinksUpToDate>
  <CharactersWithSpaces>8745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2021-10-13T11:03:00Z</dcterms:created>
  <dc:creator>微软用户</dc:creator>
  <cp:lastModifiedBy>zmg15</cp:lastModifiedBy>
  <cp:lastPrinted>2023-05-26T02:56:00Z</cp:lastPrinted>
  <dcterms:modified xsi:type="dcterms:W3CDTF">2025-08-26T09:49:34Z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4173ec55-84ed-4b8d-86b7-e14b3ea901c9</vt:lpwstr>
  </property>
  <property fmtid="{D5CDD505-2E9C-101B-9397-08002B2CF9AE}" pid="3" name="bjSaver">
    <vt:lpwstr>SkTSZQxIBdhOxEbacnZ4bigkFdCYJeiw</vt:lpwstr>
  </property>
  <property fmtid="{D5CDD505-2E9C-101B-9397-08002B2CF9AE}" pid="4" name="bjDocumentSecurityLabel">
    <vt:lpwstr>Public</vt:lpwstr>
  </property>
  <property fmtid="{D5CDD505-2E9C-101B-9397-08002B2CF9AE}" pid="5" name="DLPMetadata">
    <vt:lpwstr>f2jE6qXPublic</vt:lpwstr>
  </property>
  <property fmtid="{D5CDD505-2E9C-101B-9397-08002B2CF9AE}" pid="6" name="KSOProductBuildVer">
    <vt:lpwstr>2052-11.8.2.11718</vt:lpwstr>
  </property>
  <property fmtid="{D5CDD505-2E9C-101B-9397-08002B2CF9AE}" pid="7" name="ICV">
    <vt:lpwstr>EF90B14DB5504DF893094E57D8E3895A</vt:lpwstr>
  </property>
  <property fmtid="{D5CDD505-2E9C-101B-9397-08002B2CF9AE}" pid="8" name="bjLabelHistoryID">
    <vt:lpwstr>{C79465A4-0B43-4000-939A-4723CBEF5EFD}</vt:lpwstr>
  </property>
  <property fmtid="{D5CDD505-2E9C-101B-9397-08002B2CF9AE}" pid="9" name="bjDocumentLabelXML">
    <vt:lpwstr>&lt;?xml version="1.0" encoding="us-ascii"?&gt;&lt;sisl xmlns:xsi="http://www.w3.org/2001/XMLSchema-instance" xmlns:xsd="http://www.w3.org/2001/XMLSchema" sislVersion="0" policy="8cb55007-643b-4745-a803-66ac00fe2ebe" origin="userSelected" xmlns="http://www.boldonj</vt:lpwstr>
  </property>
  <property fmtid="{D5CDD505-2E9C-101B-9397-08002B2CF9AE}" pid="10" name="bjDocumentLabelXML-0">
    <vt:lpwstr>ames.com/2008/01/sie/internal/label"&gt;&lt;element uid="id_classification_nonbusiness" value="" /&gt;&lt;/sisl&gt;</vt:lpwstr>
  </property>
</Properties>
</file>